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eastAsia="黑体"/>
          <w:b/>
          <w:color w:val="auto"/>
          <w:sz w:val="52"/>
          <w:szCs w:val="40"/>
          <w:highlight w:val="none"/>
          <w:lang w:eastAsia="zh-CN"/>
        </w:rPr>
      </w:pPr>
      <w:r>
        <w:rPr>
          <w:rFonts w:hint="eastAsia" w:eastAsia="黑体"/>
          <w:b/>
          <w:color w:val="auto"/>
          <w:sz w:val="52"/>
          <w:szCs w:val="40"/>
          <w:highlight w:val="none"/>
          <w:lang w:eastAsia="zh-CN"/>
        </w:rPr>
        <w:t>四川省达州市2025年国有林场管护用房建设项目初步设计</w:t>
      </w:r>
    </w:p>
    <w:p>
      <w:pPr>
        <w:pStyle w:val="3"/>
        <w:rPr>
          <w:color w:val="auto"/>
          <w:sz w:val="20"/>
          <w:szCs w:val="22"/>
          <w:highlight w:val="none"/>
        </w:rPr>
      </w:pP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竞</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争</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性</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磋</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商</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文</w:t>
      </w:r>
    </w:p>
    <w:p>
      <w:pPr>
        <w:snapToGrid w:val="0"/>
        <w:spacing w:beforeLines="100" w:afterLines="100" w:line="360" w:lineRule="auto"/>
        <w:jc w:val="center"/>
        <w:rPr>
          <w:rFonts w:hint="eastAsia" w:asciiTheme="minorEastAsia" w:hAnsiTheme="minorEastAsia" w:eastAsiaTheme="minorEastAsia" w:cstheme="minorEastAsia"/>
          <w:b/>
          <w:color w:val="auto"/>
          <w:sz w:val="28"/>
          <w:szCs w:val="28"/>
          <w:highlight w:val="none"/>
          <w:lang w:eastAsia="zh-CN"/>
        </w:rPr>
      </w:pPr>
      <w:r>
        <w:rPr>
          <w:rFonts w:hint="eastAsia" w:eastAsia="黑体"/>
          <w:b/>
          <w:bCs/>
          <w:snapToGrid w:val="0"/>
          <w:color w:val="auto"/>
          <w:spacing w:val="40"/>
          <w:sz w:val="56"/>
          <w:szCs w:val="56"/>
          <w:highlight w:val="none"/>
        </w:rPr>
        <w:t>件</w:t>
      </w:r>
    </w:p>
    <w:p>
      <w:pPr>
        <w:snapToGrid w:val="0"/>
        <w:spacing w:beforeLines="50"/>
        <w:jc w:val="center"/>
        <w:rPr>
          <w:rFonts w:hint="eastAsia" w:eastAsia="黑体"/>
          <w:b/>
          <w:color w:val="auto"/>
          <w:sz w:val="44"/>
          <w:szCs w:val="32"/>
          <w:highlight w:val="none"/>
          <w:u w:color="FFFFFF" w:themeColor="background1"/>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eastAsia="黑体"/>
          <w:b/>
          <w:color w:val="auto"/>
          <w:sz w:val="44"/>
          <w:szCs w:val="32"/>
          <w:highlight w:val="none"/>
          <w:u w:color="FFFFFF" w:themeColor="background1"/>
          <w:lang w:eastAsia="zh-CN"/>
        </w:rPr>
        <w:t>二〇二</w:t>
      </w:r>
      <w:r>
        <w:rPr>
          <w:rFonts w:hint="eastAsia" w:eastAsia="黑体"/>
          <w:b/>
          <w:color w:val="auto"/>
          <w:sz w:val="44"/>
          <w:szCs w:val="32"/>
          <w:highlight w:val="none"/>
          <w:u w:color="FFFFFF" w:themeColor="background1"/>
          <w:lang w:val="en-US" w:eastAsia="zh-CN"/>
        </w:rPr>
        <w:t>五</w:t>
      </w:r>
      <w:r>
        <w:rPr>
          <w:rFonts w:hint="eastAsia" w:eastAsia="黑体"/>
          <w:b/>
          <w:color w:val="auto"/>
          <w:sz w:val="44"/>
          <w:szCs w:val="32"/>
          <w:highlight w:val="none"/>
          <w:u w:color="FFFFFF" w:themeColor="background1"/>
          <w:lang w:eastAsia="zh-CN"/>
        </w:rPr>
        <w:t>年</w:t>
      </w:r>
      <w:r>
        <w:rPr>
          <w:rFonts w:hint="eastAsia" w:eastAsia="黑体"/>
          <w:b/>
          <w:color w:val="auto"/>
          <w:sz w:val="44"/>
          <w:szCs w:val="32"/>
          <w:highlight w:val="none"/>
          <w:u w:color="FFFFFF" w:themeColor="background1"/>
          <w:lang w:val="en-US" w:eastAsia="zh-CN"/>
        </w:rPr>
        <w:t>八</w:t>
      </w:r>
      <w:r>
        <w:rPr>
          <w:rFonts w:hint="eastAsia" w:eastAsia="黑体"/>
          <w:b/>
          <w:color w:val="auto"/>
          <w:sz w:val="44"/>
          <w:szCs w:val="32"/>
          <w:highlight w:val="none"/>
          <w:u w:color="FFFFFF" w:themeColor="background1"/>
          <w:lang w:eastAsia="zh-CN"/>
        </w:rPr>
        <w:t>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843627"/>
          <w:bookmarkEnd w:id="0"/>
          <w:bookmarkStart w:id="1" w:name="_Hlt10123373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3"/>
                <w:rPr>
                  <w:color w:val="auto"/>
                  <w:highlight w:val="none"/>
                </w:rPr>
              </w:pP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TOC \o "1-1" \h \u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_Toc16345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第一章  竞争性磋商邀请</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_Toc16345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_Toc29955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第二章  供应商须知</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_Toc29955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_Toc1648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第三章  响应文件格式</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_Toc1648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23</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_Toc6426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 xml:space="preserve">第四章 </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供应商的资格、资质性及其他类似效力要求</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_Toc6426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54</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_Toc16188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第五章  供应商应当提供的资格、资质性及其他类似效力要求的相关证明材料</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_Toc16188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55</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_Toc22950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 xml:space="preserve">第六章 </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磋商项目及要求</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_Toc22950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57</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_Toc11880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第七章  评审办法</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_Toc11880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59</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_Toc9426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第八章  政府采购项目</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_Toc9426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70</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_Toc375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eastAsia="zh-CN"/>
                </w:rPr>
                <w:t>附件</w:t>
              </w:r>
              <w:r>
                <w:rPr>
                  <w:rFonts w:hint="eastAsia" w:ascii="Times New Roman" w:hAnsi="Times New Roman" w:eastAsia="宋体" w:cs="Times New Roman"/>
                  <w:color w:val="auto"/>
                  <w:sz w:val="24"/>
                  <w:lang w:val="en-US" w:eastAsia="zh-CN"/>
                </w:rPr>
                <w:t xml:space="preserve">一  </w:t>
              </w:r>
              <w:r>
                <w:rPr>
                  <w:rFonts w:hint="eastAsia" w:ascii="Times New Roman" w:hAnsi="Times New Roman" w:eastAsia="宋体" w:cs="Times New Roman"/>
                  <w:color w:val="auto"/>
                  <w:sz w:val="24"/>
                  <w:lang w:eastAsia="zh-CN"/>
                </w:rPr>
                <w:t>报名登记表</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_Toc375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73</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_Toc4620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val="en-US" w:eastAsia="zh-CN"/>
                </w:rPr>
                <w:t>附件二  介绍信</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_Toc4620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74</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pPr>
                <w:pStyle w:val="18"/>
                <w:tabs>
                  <w:tab w:val="right" w:leader="dot" w:pos="8313"/>
                </w:tabs>
                <w:spacing w:line="48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_Toc31280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eastAsia="zh-CN"/>
                </w:rPr>
                <w:t>附件</w:t>
              </w:r>
              <w:r>
                <w:rPr>
                  <w:rFonts w:hint="eastAsia" w:ascii="Times New Roman" w:hAnsi="Times New Roman" w:eastAsia="宋体" w:cs="Times New Roman"/>
                  <w:color w:val="auto"/>
                  <w:sz w:val="24"/>
                  <w:lang w:val="en-US" w:eastAsia="zh-CN"/>
                </w:rPr>
                <w:t>三  中小企业划分标准</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lang w:val="en-US" w:eastAsia="zh-CN"/>
                </w:rPr>
                <w:t>7</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lang w:val="en-US" w:eastAsia="zh-CN"/>
                </w:rPr>
                <w:t>5</w:t>
              </w:r>
            </w:p>
            <w:p>
              <w:pPr>
                <w:pStyle w:val="18"/>
                <w:tabs>
                  <w:tab w:val="right" w:leader="dot" w:pos="8313"/>
                </w:tabs>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宋体" w:cs="Times New Roman"/>
                  <w:color w:val="auto"/>
                  <w:sz w:val="24"/>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p>
    <w:p>
      <w:pPr>
        <w:pStyle w:val="4"/>
        <w:pageBreakBefore/>
        <w:spacing w:beforeLines="50" w:line="360" w:lineRule="auto"/>
        <w:jc w:val="center"/>
        <w:rPr>
          <w:rFonts w:ascii="宋体" w:hAnsi="宋体" w:cs="宋体"/>
          <w:color w:val="auto"/>
          <w:sz w:val="24"/>
          <w:highlight w:val="none"/>
        </w:rPr>
      </w:pPr>
      <w:bookmarkStart w:id="2" w:name="_Toc16345"/>
      <w:bookmarkStart w:id="3" w:name="_Toc32639_WPSOffice_Level1"/>
      <w:r>
        <w:rPr>
          <w:rFonts w:hint="eastAsia"/>
          <w:bCs w:val="0"/>
          <w:color w:val="auto"/>
          <w:sz w:val="36"/>
          <w:highlight w:val="none"/>
        </w:rPr>
        <w:t>第一章  竞争性磋商邀请</w:t>
      </w:r>
      <w:bookmarkEnd w:id="2"/>
      <w:bookmarkEnd w:id="3"/>
    </w:p>
    <w:p>
      <w:pPr>
        <w:spacing w:line="360" w:lineRule="auto"/>
        <w:ind w:firstLine="481"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color="auto"/>
          <w:lang w:eastAsia="zh-CN"/>
        </w:rPr>
        <w:t>达州市林业局</w:t>
      </w:r>
      <w:r>
        <w:rPr>
          <w:rFonts w:hint="eastAsia" w:ascii="宋体" w:hAnsi="宋体" w:eastAsia="宋体" w:cs="宋体"/>
          <w:color w:val="auto"/>
          <w:sz w:val="24"/>
          <w:highlight w:val="none"/>
        </w:rPr>
        <w:t>（采购人）拟对</w:t>
      </w:r>
      <w:r>
        <w:rPr>
          <w:rFonts w:hint="eastAsia" w:ascii="宋体" w:hAnsi="宋体" w:eastAsia="宋体" w:cs="宋体"/>
          <w:b/>
          <w:bCs/>
          <w:color w:val="auto"/>
          <w:sz w:val="24"/>
          <w:highlight w:val="none"/>
          <w:u w:val="single" w:color="auto"/>
          <w:lang w:eastAsia="zh-CN"/>
        </w:rPr>
        <w:t>四川省达州市2025年国有林场管护用房建设项目初步设计</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u w:val="single"/>
        </w:rPr>
        <w:t>竞争性磋商</w:t>
      </w:r>
      <w:r>
        <w:rPr>
          <w:rFonts w:hint="eastAsia" w:ascii="宋体" w:hAnsi="宋体" w:eastAsia="宋体" w:cs="宋体"/>
          <w:color w:val="auto"/>
          <w:sz w:val="24"/>
          <w:highlight w:val="none"/>
        </w:rPr>
        <w:t>方式采购，特邀请符合本次采购要求的供应商参加本项目的竞争性磋商。</w:t>
      </w:r>
    </w:p>
    <w:p>
      <w:pPr>
        <w:pStyle w:val="5"/>
        <w:spacing w:beforeLines="50" w:afterLines="50"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FFFFFF" w:themeColor="background1"/>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color="FFFFFF" w:themeColor="background1"/>
          <w:lang w:eastAsia="zh-CN"/>
        </w:rPr>
        <w:t>四川省达州市2025年国有林场管护用房建设项目初步设计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color="FFFFFF" w:themeColor="background1"/>
          <w:lang w:eastAsia="zh-CN"/>
        </w:rPr>
        <w:t>达州市林业局</w:t>
      </w:r>
      <w:r>
        <w:rPr>
          <w:rFonts w:hint="eastAsia" w:ascii="宋体" w:hAnsi="宋体" w:eastAsia="宋体" w:cs="宋体"/>
          <w:color w:val="auto"/>
          <w:sz w:val="24"/>
          <w:szCs w:val="24"/>
          <w:highlight w:val="none"/>
          <w:u w:color="FFFFFF" w:themeColor="background1"/>
          <w:lang w:val="en-US" w:eastAsia="zh-CN"/>
        </w:rPr>
        <w:t xml:space="preserve">                       </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ascii="宋体" w:hAnsi="宋体" w:eastAsia="宋体" w:cs="宋体"/>
          <w:b w:val="0"/>
          <w:bCs/>
          <w:color w:val="auto"/>
          <w:kern w:val="2"/>
          <w:sz w:val="24"/>
          <w:szCs w:val="24"/>
          <w:highlight w:val="none"/>
          <w:lang w:val="en-US" w:eastAsia="zh-CN" w:bidi="ar-SA"/>
        </w:rPr>
        <w:t>已落实</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color="FFFFFF" w:themeColor="background1"/>
          <w:lang w:eastAsia="zh-CN"/>
        </w:rPr>
        <w:t>四川省达州市2025年国有林场管护用房建设项目初步设计</w:t>
      </w:r>
      <w:r>
        <w:rPr>
          <w:rFonts w:hint="eastAsia" w:ascii="宋体" w:hAnsi="宋体" w:eastAsia="宋体" w:cs="宋体"/>
          <w:b/>
          <w:bCs/>
          <w:color w:val="auto"/>
          <w:sz w:val="24"/>
          <w:szCs w:val="24"/>
          <w:highlight w:val="none"/>
        </w:rPr>
        <w:t>（项目介绍详见磋商文件第六章）。</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次采购采取方式1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邀请参加磋商的供应商。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方式1（公告方式）：本次竞争性磋商邀请在</w:t>
      </w:r>
      <w:r>
        <w:rPr>
          <w:rFonts w:hint="eastAsia" w:ascii="宋体" w:hAnsi="宋体" w:eastAsia="宋体" w:cs="宋体"/>
          <w:color w:val="auto"/>
          <w:sz w:val="24"/>
          <w:highlight w:val="none"/>
          <w:lang w:eastAsia="zh-CN"/>
        </w:rPr>
        <w:t>达州市林业局官网</w:t>
      </w:r>
      <w:r>
        <w:rPr>
          <w:rFonts w:hint="eastAsia" w:ascii="宋体" w:hAnsi="宋体" w:eastAsia="宋体" w:cs="宋体"/>
          <w:color w:val="auto"/>
          <w:sz w:val="24"/>
          <w:highlight w:val="none"/>
        </w:rPr>
        <w:t>上以公告形式发布；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方式3（供应商库随机抽取）：通过省级以上财政部门建立的供应商库中随机抽取供应商。</w:t>
      </w:r>
    </w:p>
    <w:p>
      <w:pPr>
        <w:pStyle w:val="5"/>
        <w:numPr>
          <w:ilvl w:val="0"/>
          <w:numId w:val="0"/>
        </w:numPr>
        <w:spacing w:beforeLines="50" w:afterLines="50" w:line="360" w:lineRule="auto"/>
        <w:ind w:firstLine="562" w:firstLineChars="200"/>
        <w:rPr>
          <w:rFonts w:hint="eastAsia" w:ascii="宋体" w:hAnsi="宋体" w:eastAsia="宋体" w:cs="宋体"/>
          <w:bCs/>
          <w:color w:val="auto"/>
          <w:sz w:val="24"/>
          <w:highlight w:val="none"/>
          <w:lang w:val="en-US"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w:t>
      </w:r>
      <w:r>
        <w:rPr>
          <w:rFonts w:hint="eastAsia" w:ascii="宋体" w:hAnsi="宋体" w:eastAsia="宋体" w:cs="宋体"/>
          <w:b/>
          <w:color w:val="auto"/>
          <w:sz w:val="24"/>
          <w:lang w:eastAsia="zh-CN"/>
        </w:rPr>
        <w:t>否</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《中华人民共和国政府采购法》第二十二条第一款第（一）至（五）规定的条件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w:t>
      </w:r>
      <w:r>
        <w:rPr>
          <w:rFonts w:hint="eastAsia" w:ascii="宋体" w:hAnsi="宋体" w:eastAsia="宋体" w:cs="宋体"/>
          <w:color w:val="auto"/>
          <w:sz w:val="24"/>
          <w:highlight w:val="none"/>
          <w:lang w:eastAsia="zh-CN"/>
        </w:rPr>
        <w:t>违规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7.根据项目特殊要求设置的特定条件（不得以不合理的条件对供应商实行差别待遇或歧视</w:t>
      </w:r>
      <w:r>
        <w:rPr>
          <w:rFonts w:hint="eastAsia" w:ascii="宋体" w:hAnsi="宋体" w:eastAsia="宋体" w:cs="宋体"/>
          <w:color w:val="auto"/>
          <w:sz w:val="24"/>
          <w:highlight w:val="none"/>
          <w:lang w:val="en-US" w:eastAsia="zh-CN"/>
        </w:rPr>
        <w:t>待遇）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7.1本项目不接受联合体投标</w:t>
      </w:r>
      <w:r>
        <w:rPr>
          <w:rFonts w:hint="eastAsia" w:ascii="宋体" w:hAnsi="宋体" w:eastAsia="宋体" w:cs="宋体"/>
          <w:color w:val="auto"/>
          <w:sz w:val="24"/>
          <w:highlight w:val="none"/>
          <w:lang w:eastAsia="zh-CN"/>
        </w:rPr>
        <w:t>。</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1.根据《关于在政府采购活动中查询及使用信用记录有关问题的通知》（财库〔2016〕125号）的要求，</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bCs/>
          <w:color w:val="auto"/>
          <w:sz w:val="24"/>
          <w:highlight w:val="none"/>
        </w:rPr>
        <w:t>将通过“信用中国”网站（www.creditchina.gov.cn）、“</w:t>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bCs/>
          <w:color w:val="auto"/>
          <w:sz w:val="24"/>
          <w:highlight w:val="none"/>
        </w:rPr>
        <w:t>”网站（www.ccgp.gov.cn）等渠道查询供应商在采购公告发布之日前的信用记录并保存信用记录结果网页截图，拒绝列入失信被执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highlight w:val="none"/>
        </w:rPr>
        <w:t>磋商文件发售时间</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日上午9:30-12：00，下午14：00-17:00（北京时间，法定节假日除外）</w:t>
      </w:r>
      <w:r>
        <w:rPr>
          <w:rFonts w:hint="eastAsia" w:ascii="宋体" w:hAnsi="宋体" w:eastAsia="宋体" w:cs="宋体"/>
          <w:color w:val="auto"/>
          <w:sz w:val="24"/>
          <w:szCs w:val="24"/>
          <w:lang w:eastAsia="zh-CN"/>
        </w:rPr>
        <w:t>。</w:t>
      </w:r>
    </w:p>
    <w:p>
      <w:pPr>
        <w:snapToGrid w:val="0"/>
        <w:spacing w:line="360" w:lineRule="auto"/>
        <w:ind w:firstLine="481"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w:t>
      </w:r>
      <w:r>
        <w:rPr>
          <w:rFonts w:hint="eastAsia" w:ascii="宋体" w:hAnsi="宋体" w:eastAsia="宋体" w:cs="宋体"/>
          <w:color w:val="auto"/>
          <w:sz w:val="24"/>
          <w:lang w:eastAsia="zh-CN"/>
        </w:rPr>
        <w:t>免费</w:t>
      </w:r>
      <w:r>
        <w:rPr>
          <w:rFonts w:hint="eastAsia" w:ascii="宋体" w:hAnsi="宋体" w:eastAsia="宋体" w:cs="宋体"/>
          <w:color w:val="auto"/>
          <w:sz w:val="24"/>
        </w:rPr>
        <w:t>。（磋商文件售后不退</w:t>
      </w:r>
      <w:r>
        <w:rPr>
          <w:rFonts w:hint="eastAsia" w:ascii="宋体" w:hAnsi="宋体" w:eastAsia="宋体" w:cs="宋体"/>
          <w:color w:val="auto"/>
          <w:sz w:val="24"/>
          <w:lang w:eastAsia="zh-CN"/>
        </w:rPr>
        <w:t>，</w:t>
      </w:r>
      <w:r>
        <w:rPr>
          <w:rFonts w:hint="eastAsia" w:ascii="宋体" w:hAnsi="宋体" w:eastAsia="宋体" w:cs="宋体"/>
          <w:color w:val="auto"/>
          <w:sz w:val="24"/>
        </w:rPr>
        <w:t>磋商资格不能转让）。</w:t>
      </w:r>
    </w:p>
    <w:p>
      <w:pPr>
        <w:snapToGrid w:val="0"/>
        <w:spacing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网上发售，供应商自行通过本项目磋商文件附件一、二（见尾页）下载《报名信息登记表》《介绍信》并按要求填写相应信息，并将报名资料以扫描件的形式于上述规定时段（北京时间，法定节假日除外）发送至</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510248420@</w:t>
      </w:r>
      <w:r>
        <w:rPr>
          <w:rFonts w:hint="default" w:ascii="宋体" w:hAnsi="宋体" w:eastAsia="宋体" w:cs="宋体"/>
          <w:b/>
          <w:bCs/>
          <w:color w:val="auto"/>
          <w:sz w:val="24"/>
          <w:szCs w:val="24"/>
          <w:highlight w:val="none"/>
          <w:lang w:val="en" w:eastAsia="zh-CN"/>
        </w:rPr>
        <w:t>qq.com</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0818-</w:t>
      </w:r>
      <w:r>
        <w:rPr>
          <w:rFonts w:hint="eastAsia" w:ascii="宋体" w:hAnsi="宋体" w:eastAsia="宋体" w:cs="宋体"/>
          <w:b/>
          <w:bCs w:val="0"/>
          <w:color w:val="auto"/>
          <w:sz w:val="24"/>
          <w:szCs w:val="24"/>
          <w:highlight w:val="none"/>
          <w:lang w:val="en-US" w:eastAsia="zh-CN"/>
        </w:rPr>
        <w:t>2650552</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获取磋商文件时，经办人提交以下资料：供应商为法人或者其他组织的，需提供单位介绍信、经办人身份证明；供应商为自然人的，只需提供本人身份证明。（均须加盖公司鲜章）。</w:t>
      </w:r>
    </w:p>
    <w:p>
      <w:pPr>
        <w:pStyle w:val="5"/>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val="en-US" w:eastAsia="zh-CN"/>
        </w:rPr>
        <w:t>九</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val="0"/>
          <w:color w:val="auto"/>
          <w:sz w:val="24"/>
          <w:highlight w:val="none"/>
        </w:rPr>
        <w:t>（北京时间）。</w:t>
      </w:r>
    </w:p>
    <w:p>
      <w:pPr>
        <w:pStyle w:val="12"/>
        <w:snapToGrid w:val="0"/>
        <w:spacing w:line="360" w:lineRule="auto"/>
        <w:ind w:firstLine="56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、递交响应文件地点：</w:t>
      </w:r>
      <w:r>
        <w:rPr>
          <w:rFonts w:hint="eastAsia" w:ascii="宋体" w:hAnsi="宋体" w:eastAsia="宋体" w:cs="宋体"/>
          <w:b/>
          <w:bCs/>
          <w:color w:val="auto"/>
          <w:sz w:val="24"/>
          <w:szCs w:val="24"/>
          <w:highlight w:val="none"/>
          <w:lang w:val="en-US" w:eastAsia="zh-CN"/>
        </w:rPr>
        <w:t>达州市林业局二楼会议室（达州市达川区达川大道一段463号）</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w:t>
      </w:r>
      <w:r>
        <w:rPr>
          <w:rFonts w:hint="eastAsia" w:ascii="宋体" w:hAnsi="宋体" w:eastAsia="宋体" w:cs="宋体"/>
          <w:bCs/>
          <w:color w:val="auto"/>
          <w:sz w:val="24"/>
          <w:szCs w:val="24"/>
          <w:highlight w:val="none"/>
          <w:lang w:val="en-US" w:eastAsia="zh-CN"/>
        </w:rPr>
        <w:t>达州市林业局</w:t>
      </w:r>
      <w:r>
        <w:rPr>
          <w:rFonts w:hint="eastAsia" w:ascii="宋体" w:hAnsi="宋体" w:eastAsia="宋体" w:cs="宋体"/>
          <w:bCs/>
          <w:color w:val="auto"/>
          <w:sz w:val="24"/>
          <w:szCs w:val="24"/>
          <w:highlight w:val="none"/>
        </w:rPr>
        <w:t>恕不接收。本次采购不接收邮寄的响应文件。</w:t>
      </w:r>
    </w:p>
    <w:p>
      <w:pPr>
        <w:pStyle w:val="5"/>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rPr>
        <w:t>、磋商地点</w:t>
      </w:r>
      <w:r>
        <w:rPr>
          <w:rFonts w:hint="eastAsia" w:ascii="宋体" w:hAnsi="宋体" w:eastAsia="宋体" w:cs="宋体"/>
          <w:b w:val="0"/>
          <w:color w:val="auto"/>
          <w:sz w:val="24"/>
          <w:szCs w:val="24"/>
          <w:highlight w:val="none"/>
        </w:rPr>
        <w:t>：</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pPr>
        <w:pStyle w:val="5"/>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pPr>
        <w:pStyle w:val="5"/>
        <w:spacing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三</w:t>
      </w:r>
      <w:r>
        <w:rPr>
          <w:rFonts w:hint="eastAsia" w:ascii="宋体" w:hAnsi="宋体" w:eastAsia="宋体" w:cs="宋体"/>
          <w:bCs w:val="0"/>
          <w:color w:val="auto"/>
          <w:sz w:val="28"/>
          <w:szCs w:val="28"/>
          <w:highlight w:val="none"/>
        </w:rPr>
        <w:t>、联系方式</w:t>
      </w:r>
    </w:p>
    <w:p>
      <w:pPr>
        <w:pStyle w:val="7"/>
        <w:pageBreakBefore w:val="0"/>
        <w:widowControl w:val="0"/>
        <w:kinsoku/>
        <w:wordWrap/>
        <w:overflowPunct/>
        <w:topLinePunct w:val="0"/>
        <w:autoSpaceDE/>
        <w:autoSpaceDN/>
        <w:bidi w:val="0"/>
        <w:adjustRightInd/>
        <w:snapToGrid/>
        <w:spacing w:before="0" w:after="0" w:line="360" w:lineRule="auto"/>
        <w:ind w:left="0" w:leftChars="0" w:firstLine="963" w:firstLineChars="4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采购人：</w:t>
      </w:r>
      <w:r>
        <w:rPr>
          <w:rFonts w:hint="eastAsia" w:ascii="宋体" w:hAnsi="宋体" w:eastAsia="宋体" w:cs="宋体"/>
          <w:b/>
          <w:bCs w:val="0"/>
          <w:color w:val="auto"/>
          <w:sz w:val="24"/>
          <w:szCs w:val="24"/>
          <w:lang w:eastAsia="zh-CN"/>
        </w:rPr>
        <w:t>达州市林业局</w:t>
      </w:r>
    </w:p>
    <w:p>
      <w:pPr>
        <w:pStyle w:val="39"/>
        <w:spacing w:line="360" w:lineRule="auto"/>
        <w:ind w:firstLine="963" w:firstLineChars="40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地    址：</w:t>
      </w:r>
      <w:r>
        <w:rPr>
          <w:rFonts w:hint="eastAsia" w:ascii="宋体" w:hAnsi="宋体" w:eastAsia="宋体" w:cs="宋体"/>
          <w:b/>
          <w:bCs w:val="0"/>
          <w:color w:val="auto"/>
          <w:sz w:val="24"/>
          <w:szCs w:val="24"/>
          <w:highlight w:val="none"/>
          <w:lang w:val="en-US" w:eastAsia="zh-CN"/>
        </w:rPr>
        <w:t>达州市达川区达川大道一段463号</w:t>
      </w:r>
    </w:p>
    <w:p>
      <w:pPr>
        <w:pStyle w:val="39"/>
        <w:spacing w:line="360" w:lineRule="auto"/>
        <w:ind w:firstLine="963" w:firstLineChars="40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联 系 人：谢先生</w:t>
      </w:r>
    </w:p>
    <w:p>
      <w:pPr>
        <w:pStyle w:val="39"/>
        <w:spacing w:line="360" w:lineRule="auto"/>
        <w:ind w:firstLine="963" w:firstLineChars="400"/>
        <w:rPr>
          <w:rFonts w:hint="default" w:ascii="宋体" w:hAnsi="宋体" w:eastAsia="宋体" w:cs="宋体"/>
          <w:color w:val="auto"/>
          <w:sz w:val="24"/>
          <w:highlight w:val="none"/>
          <w:lang w:val="en-US" w:eastAsia="zh-CN"/>
        </w:rPr>
      </w:pPr>
      <w:r>
        <w:rPr>
          <w:rFonts w:hint="eastAsia" w:ascii="宋体" w:hAnsi="宋体" w:eastAsia="宋体" w:cs="宋体"/>
          <w:b/>
          <w:bCs w:val="0"/>
          <w:color w:val="auto"/>
          <w:sz w:val="24"/>
          <w:highlight w:val="none"/>
          <w:lang w:val="en-US" w:eastAsia="zh-CN"/>
        </w:rPr>
        <w:t>联系电话：</w:t>
      </w:r>
      <w:r>
        <w:rPr>
          <w:rFonts w:hint="eastAsia" w:ascii="宋体" w:hAnsi="宋体" w:eastAsia="宋体" w:cs="宋体"/>
          <w:b/>
          <w:bCs w:val="0"/>
          <w:color w:val="auto"/>
          <w:sz w:val="24"/>
          <w:szCs w:val="24"/>
          <w:highlight w:val="none"/>
          <w:lang w:val="en-US" w:eastAsia="zh-CN"/>
        </w:rPr>
        <w:t>0818-2650552</w:t>
      </w:r>
    </w:p>
    <w:p>
      <w:pPr>
        <w:pStyle w:val="39"/>
        <w:snapToGrid w:val="0"/>
        <w:ind w:firstLine="1040" w:firstLineChars="432"/>
        <w:jc w:val="right"/>
        <w:rPr>
          <w:rFonts w:hAnsi="宋体"/>
          <w:b/>
          <w:bCs/>
          <w:color w:val="auto"/>
          <w:sz w:val="24"/>
          <w:szCs w:val="28"/>
          <w:highlight w:val="none"/>
        </w:rPr>
      </w:pPr>
    </w:p>
    <w:p>
      <w:pPr>
        <w:rPr>
          <w:rFonts w:hint="eastAsia" w:hAnsi="宋体"/>
          <w:color w:val="auto"/>
          <w:sz w:val="24"/>
          <w:highlight w:val="none"/>
        </w:rPr>
      </w:pPr>
      <w:bookmarkStart w:id="4" w:name="_Toc7954"/>
      <w:bookmarkStart w:id="5" w:name="_Toc483317784"/>
      <w:bookmarkStart w:id="6" w:name="_Toc10178"/>
      <w:bookmarkStart w:id="7" w:name="_Toc3592"/>
      <w:bookmarkStart w:id="8" w:name="_Toc25029"/>
      <w:bookmarkStart w:id="9" w:name="_Toc19871"/>
      <w:bookmarkStart w:id="10" w:name="_Toc32623_WPSOffice_Level1"/>
      <w:bookmarkStart w:id="11" w:name="_Toc24928"/>
      <w:bookmarkStart w:id="12" w:name="_Toc12382"/>
      <w:bookmarkStart w:id="13" w:name="_Toc19314"/>
      <w:r>
        <w:rPr>
          <w:rFonts w:hint="eastAsia" w:hAnsi="宋体"/>
          <w:color w:val="auto"/>
          <w:sz w:val="24"/>
          <w:highlight w:val="none"/>
        </w:rPr>
        <w:br w:type="page"/>
      </w:r>
    </w:p>
    <w:bookmarkEnd w:id="4"/>
    <w:p>
      <w:pPr>
        <w:pStyle w:val="4"/>
        <w:keepNext w:val="0"/>
        <w:keepLines w:val="0"/>
        <w:pageBreakBefore/>
        <w:snapToGrid w:val="0"/>
        <w:spacing w:line="360" w:lineRule="auto"/>
        <w:jc w:val="center"/>
        <w:rPr>
          <w:color w:val="auto"/>
          <w:sz w:val="36"/>
          <w:szCs w:val="36"/>
          <w:highlight w:val="none"/>
        </w:rPr>
      </w:pPr>
      <w:bookmarkStart w:id="14" w:name="_Toc2995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5"/>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3"/>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4"/>
        <w:gridCol w:w="2050"/>
        <w:gridCol w:w="947"/>
        <w:gridCol w:w="1738"/>
        <w:gridCol w:w="2162"/>
        <w:gridCol w:w="2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814"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50" w:type="dxa"/>
            <w:vAlign w:val="center"/>
          </w:tcPr>
          <w:p>
            <w:pPr>
              <w:pStyle w:val="40"/>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13" w:type="dxa"/>
            <w:gridSpan w:val="4"/>
            <w:vAlign w:val="center"/>
          </w:tcPr>
          <w:p>
            <w:pPr>
              <w:pStyle w:val="40"/>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b/>
                <w:bCs/>
                <w:color w:val="auto"/>
                <w:sz w:val="24"/>
                <w:szCs w:val="24"/>
                <w:highlight w:val="none"/>
                <w:lang w:val="en-US" w:eastAsia="zh-CN"/>
              </w:rPr>
              <w:t>叁拾万元整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b/>
                <w:bCs/>
                <w:color w:val="auto"/>
                <w:sz w:val="24"/>
                <w:szCs w:val="24"/>
                <w:highlight w:val="none"/>
                <w:lang w:val="en-US" w:eastAsia="zh-CN"/>
              </w:rPr>
              <w:t>叁拾万元整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jc w:val="center"/>
        </w:trPr>
        <w:tc>
          <w:tcPr>
            <w:tcW w:w="814" w:type="dxa"/>
            <w:vMerge w:val="restart"/>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50" w:type="dxa"/>
            <w:vMerge w:val="restart"/>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中小企业</w:t>
            </w:r>
            <w:r>
              <w:rPr>
                <w:rFonts w:hint="eastAsia"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 xml:space="preserve">采 </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tc>
        <w:tc>
          <w:tcPr>
            <w:tcW w:w="6913"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jc w:val="center"/>
        </w:trPr>
        <w:tc>
          <w:tcPr>
            <w:tcW w:w="814"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序号</w:t>
            </w:r>
          </w:p>
        </w:tc>
        <w:tc>
          <w:tcPr>
            <w:tcW w:w="1738"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采购标的</w:t>
            </w:r>
          </w:p>
        </w:tc>
        <w:tc>
          <w:tcPr>
            <w:tcW w:w="2162"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所属行业</w:t>
            </w:r>
            <w:r>
              <w:rPr>
                <w:rFonts w:hint="eastAsia" w:ascii="宋体" w:hAnsi="宋体" w:eastAsia="宋体" w:cs="宋体"/>
                <w:b/>
                <w:bCs/>
                <w:color w:val="auto"/>
                <w:kern w:val="2"/>
                <w:sz w:val="24"/>
                <w:szCs w:val="24"/>
                <w:lang w:val="en-US" w:eastAsia="zh-CN" w:bidi="ar-SA"/>
              </w:rPr>
              <w:t>（划分标准详见附件四）</w:t>
            </w:r>
          </w:p>
        </w:tc>
        <w:tc>
          <w:tcPr>
            <w:tcW w:w="2066" w:type="dxa"/>
            <w:tcBorders>
              <w:top w:val="single" w:color="auto" w:sz="4" w:space="0"/>
              <w:left w:val="single" w:color="auto" w:sz="4" w:space="0"/>
              <w:bottom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814"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right w:val="single" w:color="auto" w:sz="4" w:space="0"/>
            </w:tcBorders>
            <w:vAlign w:val="center"/>
          </w:tcPr>
          <w:p>
            <w:pPr>
              <w:pStyle w:val="3"/>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1</w:t>
            </w:r>
          </w:p>
        </w:tc>
        <w:tc>
          <w:tcPr>
            <w:tcW w:w="1738" w:type="dxa"/>
            <w:tcBorders>
              <w:top w:val="single" w:color="auto" w:sz="4" w:space="0"/>
              <w:left w:val="single" w:color="auto" w:sz="4" w:space="0"/>
              <w:right w:val="single" w:color="auto" w:sz="4" w:space="0"/>
            </w:tcBorders>
            <w:vAlign w:val="center"/>
          </w:tcPr>
          <w:p>
            <w:pPr>
              <w:pStyle w:val="3"/>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四川省达州市2025年国有林场管护用房建设项目初步设计</w:t>
            </w:r>
          </w:p>
        </w:tc>
        <w:tc>
          <w:tcPr>
            <w:tcW w:w="2162" w:type="dxa"/>
            <w:tcBorders>
              <w:top w:val="single" w:color="auto" w:sz="4" w:space="0"/>
              <w:left w:val="single" w:color="auto" w:sz="4" w:space="0"/>
              <w:right w:val="single" w:color="auto" w:sz="4" w:space="0"/>
            </w:tcBorders>
            <w:vAlign w:val="center"/>
          </w:tcPr>
          <w:p>
            <w:pPr>
              <w:pStyle w:val="3"/>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c>
          <w:tcPr>
            <w:tcW w:w="2066" w:type="dxa"/>
            <w:tcBorders>
              <w:top w:val="single" w:color="auto" w:sz="4" w:space="0"/>
              <w:left w:val="single" w:color="auto" w:sz="4" w:space="0"/>
            </w:tcBorders>
            <w:vAlign w:val="center"/>
          </w:tcPr>
          <w:p>
            <w:pPr>
              <w:pStyle w:val="3"/>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6913" w:type="dxa"/>
            <w:gridSpan w:val="4"/>
            <w:vAlign w:val="center"/>
          </w:tcPr>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认为供应商的报价明显低于其他通过资格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50" w:type="dxa"/>
            <w:vAlign w:val="center"/>
          </w:tcPr>
          <w:p>
            <w:pPr>
              <w:pStyle w:val="40"/>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40"/>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eastAsia="宋体" w:cs="宋体"/>
                <w:color w:val="auto"/>
                <w:kern w:val="2"/>
                <w:sz w:val="24"/>
                <w:szCs w:val="24"/>
                <w:highlight w:val="none"/>
                <w:lang w:val="en-US" w:eastAsia="zh-CN"/>
              </w:rPr>
              <w:t>）</w:t>
            </w:r>
          </w:p>
        </w:tc>
        <w:tc>
          <w:tcPr>
            <w:tcW w:w="6913" w:type="dxa"/>
            <w:gridSpan w:val="4"/>
            <w:vAlign w:val="center"/>
          </w:tcPr>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6913" w:type="dxa"/>
            <w:gridSpan w:val="4"/>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w:t>
            </w:r>
            <w:r>
              <w:rPr>
                <w:rFonts w:hint="eastAsia"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9</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6913" w:type="dxa"/>
            <w:gridSpan w:val="4"/>
            <w:vAlign w:val="center"/>
          </w:tcPr>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w:t>
            </w:r>
            <w:r>
              <w:rPr>
                <w:rFonts w:hint="eastAsia" w:asciiTheme="minorEastAsia" w:hAnsiTheme="minorEastAsia" w:cstheme="minorEastAsia"/>
                <w:color w:val="auto"/>
                <w:sz w:val="24"/>
                <w:highlight w:val="none"/>
                <w:lang w:eastAsia="zh-CN"/>
              </w:rPr>
              <w:t>达州市林业局官网</w:t>
            </w:r>
            <w:r>
              <w:rPr>
                <w:rFonts w:hint="eastAsia" w:ascii="宋体" w:hAnsi="宋体" w:eastAsia="宋体" w:cs="宋体"/>
                <w:color w:val="auto"/>
                <w:sz w:val="24"/>
                <w:szCs w:val="24"/>
                <w:highlight w:val="none"/>
                <w:lang w:val="zh-CN"/>
              </w:rPr>
              <w:t>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0</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6913" w:type="dxa"/>
            <w:gridSpan w:val="4"/>
            <w:vAlign w:val="center"/>
          </w:tcPr>
          <w:p>
            <w:pPr>
              <w:pStyle w:val="39"/>
              <w:spacing w:line="360" w:lineRule="auto"/>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zh-CN"/>
              </w:rPr>
              <w:t>谢</w:t>
            </w:r>
            <w:r>
              <w:rPr>
                <w:rFonts w:hint="eastAsia" w:eastAsia="宋体" w:cs="宋体"/>
                <w:b/>
                <w:bCs/>
                <w:color w:val="auto"/>
                <w:sz w:val="24"/>
                <w:szCs w:val="24"/>
                <w:highlight w:val="none"/>
                <w:lang w:val="zh-CN"/>
              </w:rPr>
              <w:t>先生</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ascii="宋体" w:hAnsi="宋体" w:eastAsia="宋体" w:cs="宋体"/>
                <w:b/>
                <w:bCs w:val="0"/>
                <w:color w:val="auto"/>
                <w:sz w:val="24"/>
                <w:szCs w:val="24"/>
                <w:highlight w:val="none"/>
                <w:lang w:val="en-US" w:eastAsia="zh-CN"/>
              </w:rPr>
              <w:t>0818-2650552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6913" w:type="dxa"/>
            <w:gridSpan w:val="4"/>
            <w:vAlign w:val="center"/>
          </w:tcPr>
          <w:p>
            <w:pPr>
              <w:pStyle w:val="39"/>
              <w:spacing w:line="360" w:lineRule="auto"/>
              <w:ind w:firstLine="960" w:firstLineChars="4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zh-CN"/>
              </w:rPr>
              <w:t>谢</w:t>
            </w:r>
            <w:r>
              <w:rPr>
                <w:rFonts w:hint="eastAsia" w:eastAsia="宋体" w:cs="宋体"/>
                <w:b/>
                <w:bCs/>
                <w:color w:val="auto"/>
                <w:sz w:val="24"/>
                <w:szCs w:val="24"/>
                <w:highlight w:val="none"/>
                <w:lang w:val="zh-CN"/>
              </w:rPr>
              <w:t>先生</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ascii="宋体" w:hAnsi="宋体" w:eastAsia="宋体" w:cs="宋体"/>
                <w:b/>
                <w:bCs w:val="0"/>
                <w:color w:val="auto"/>
                <w:sz w:val="24"/>
                <w:szCs w:val="24"/>
                <w:highlight w:val="none"/>
                <w:lang w:val="en-US" w:eastAsia="zh-CN"/>
              </w:rPr>
              <w:t>0818-2650552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6913" w:type="dxa"/>
            <w:gridSpan w:val="4"/>
          </w:tcPr>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lang w:eastAsia="zh-CN"/>
              </w:rPr>
              <w:t>谢先生</w:t>
            </w:r>
            <w:r>
              <w:rPr>
                <w:rFonts w:hint="eastAsia" w:ascii="宋体" w:hAnsi="宋体" w:eastAsia="宋体" w:cs="宋体"/>
                <w:b/>
                <w:bCs/>
                <w:color w:val="auto"/>
                <w:sz w:val="24"/>
                <w:szCs w:val="24"/>
                <w:highlight w:val="none"/>
              </w:rPr>
              <w:t xml:space="preserve"> </w:t>
            </w:r>
          </w:p>
          <w:p>
            <w:pPr>
              <w:pStyle w:val="39"/>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val="0"/>
                <w:color w:val="auto"/>
                <w:sz w:val="24"/>
                <w:szCs w:val="24"/>
                <w:highlight w:val="none"/>
                <w:lang w:val="en-US" w:eastAsia="zh-CN"/>
              </w:rPr>
              <w:t>0818-2650552</w:t>
            </w: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15</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6913" w:type="dxa"/>
            <w:gridSpan w:val="4"/>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lang w:val="en-US" w:eastAsia="zh-CN"/>
              </w:rPr>
              <w:t>谢先生</w:t>
            </w:r>
          </w:p>
          <w:p>
            <w:pPr>
              <w:pStyle w:val="39"/>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val="0"/>
                <w:color w:val="auto"/>
                <w:sz w:val="24"/>
                <w:szCs w:val="24"/>
                <w:highlight w:val="none"/>
                <w:lang w:val="en-US" w:eastAsia="zh-CN"/>
              </w:rPr>
              <w:t>0818-2650552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16</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6913"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时间：成交公告发出后的2个工作日内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zh-CN"/>
              </w:rPr>
              <w:t>谢</w:t>
            </w:r>
            <w:r>
              <w:rPr>
                <w:rFonts w:hint="eastAsia" w:ascii="宋体" w:hAnsi="宋体" w:eastAsia="宋体" w:cs="宋体"/>
                <w:b/>
                <w:bCs/>
                <w:color w:val="auto"/>
                <w:sz w:val="24"/>
                <w:szCs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b/>
                <w:bCs w:val="0"/>
                <w:color w:val="auto"/>
                <w:sz w:val="24"/>
                <w:szCs w:val="24"/>
                <w:highlight w:val="none"/>
                <w:lang w:val="en-US" w:eastAsia="zh-CN"/>
              </w:rPr>
              <w:t>0818-2650552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color w:val="auto"/>
                <w:sz w:val="24"/>
                <w:szCs w:val="24"/>
                <w:highlight w:val="none"/>
              </w:rPr>
              <w:t>单位介绍信</w:t>
            </w:r>
            <w:r>
              <w:rPr>
                <w:rFonts w:hint="eastAsia" w:ascii="宋体" w:hAnsi="宋体" w:eastAsia="宋体" w:cs="宋体"/>
                <w:color w:val="auto"/>
                <w:sz w:val="24"/>
                <w:szCs w:val="24"/>
                <w:highlight w:val="none"/>
                <w:lang w:eastAsia="zh-CN"/>
              </w:rPr>
              <w:t>（详见附件二）</w:t>
            </w:r>
            <w:r>
              <w:rPr>
                <w:rFonts w:hint="eastAsia" w:ascii="宋体" w:hAnsi="宋体" w:eastAsia="宋体" w:cs="宋体"/>
                <w:color w:val="auto"/>
                <w:sz w:val="24"/>
                <w:szCs w:val="24"/>
                <w:highlight w:val="none"/>
              </w:rPr>
              <w:t>、经办人身份证</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17</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支持脱贫攻坚</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财库〔2019〕27号，优先采购贫困地区农副产品、优先采购聘用建档立卡贫困人员物业公司提供的物业服务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18</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keepNext/>
        <w:keepLines/>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Cs w:val="0"/>
          <w:color w:val="auto"/>
          <w:highlight w:val="none"/>
        </w:rPr>
      </w:pPr>
      <w:bookmarkStart w:id="18" w:name="_Toc31873"/>
      <w:bookmarkStart w:id="19" w:name="_Toc10726"/>
    </w:p>
    <w:p>
      <w:pPr>
        <w:pStyle w:val="5"/>
        <w:snapToGrid w:val="0"/>
        <w:spacing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二、总  则</w:t>
      </w:r>
      <w:bookmarkEnd w:id="18"/>
      <w:bookmarkEnd w:id="19"/>
    </w:p>
    <w:p>
      <w:pPr>
        <w:pStyle w:val="6"/>
        <w:snapToGrid w:val="0"/>
        <w:spacing w:line="360" w:lineRule="auto"/>
        <w:ind w:firstLine="481" w:firstLineChars="200"/>
        <w:rPr>
          <w:rFonts w:hint="eastAsia" w:ascii="宋体" w:hAnsi="宋体" w:eastAsia="宋体" w:cs="宋体"/>
          <w:color w:val="auto"/>
          <w:sz w:val="24"/>
          <w:highlight w:val="none"/>
        </w:rPr>
      </w:pPr>
      <w:bookmarkStart w:id="20" w:name="_Toc9475"/>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适用范围</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本磋商文件仅适用于本次竞争性磋商采购项目。</w:t>
      </w:r>
    </w:p>
    <w:p>
      <w:pPr>
        <w:pStyle w:val="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本磋商文件的解释权归采购人所有。</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有关</w:t>
      </w:r>
      <w:r>
        <w:rPr>
          <w:rFonts w:hint="eastAsia" w:ascii="宋体" w:hAnsi="宋体" w:eastAsia="宋体" w:cs="宋体"/>
          <w:color w:val="auto"/>
          <w:sz w:val="24"/>
          <w:szCs w:val="24"/>
          <w:highlight w:val="none"/>
        </w:rPr>
        <w:t>定义</w:t>
      </w:r>
      <w:bookmarkEnd w:id="20"/>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“采购人”系指依法进行政府采购的国家机关、事业单位、团体组织。本次竞争性磋商项目的采购人是</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“竞争性磋商采购单位”系指“采购人”的统称。</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“供应商”系指购买了磋商文件拟参加磋商和向采购人提供相应工程和服务的供应商。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本磋商文件各部分规定的时间均以北京时间为准。</w:t>
      </w:r>
    </w:p>
    <w:p>
      <w:pPr>
        <w:pStyle w:val="6"/>
        <w:snapToGrid w:val="0"/>
        <w:spacing w:line="360" w:lineRule="auto"/>
        <w:ind w:firstLine="481" w:firstLineChars="200"/>
        <w:rPr>
          <w:rFonts w:hint="eastAsia" w:ascii="宋体" w:hAnsi="宋体" w:eastAsia="宋体" w:cs="宋体"/>
          <w:color w:val="auto"/>
          <w:sz w:val="24"/>
          <w:highlight w:val="none"/>
        </w:rPr>
      </w:pPr>
      <w:bookmarkStart w:id="21" w:name="_Toc26373"/>
      <w:r>
        <w:rPr>
          <w:rFonts w:hint="eastAsia" w:ascii="宋体" w:hAnsi="宋体" w:eastAsia="宋体" w:cs="宋体"/>
          <w:color w:val="auto"/>
          <w:sz w:val="24"/>
          <w:highlight w:val="none"/>
        </w:rPr>
        <w:t>3. 合格的供应商（实质性要求）</w:t>
      </w:r>
      <w:bookmarkEnd w:id="21"/>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按照规定获取了磋商文件，属于实质性参加政府采购活动的供应商。</w:t>
      </w:r>
    </w:p>
    <w:p>
      <w:pPr>
        <w:pStyle w:val="6"/>
        <w:snapToGrid w:val="0"/>
        <w:spacing w:line="360" w:lineRule="auto"/>
        <w:ind w:firstLine="481" w:firstLineChars="200"/>
        <w:rPr>
          <w:rFonts w:hint="eastAsia" w:ascii="宋体" w:hAnsi="宋体" w:eastAsia="宋体" w:cs="宋体"/>
          <w:color w:val="auto"/>
          <w:sz w:val="24"/>
          <w:highlight w:val="none"/>
        </w:rPr>
      </w:pPr>
      <w:bookmarkStart w:id="22" w:name="_Toc22765"/>
      <w:r>
        <w:rPr>
          <w:rFonts w:hint="eastAsia" w:ascii="宋体" w:hAnsi="宋体" w:eastAsia="宋体" w:cs="宋体"/>
          <w:color w:val="auto"/>
          <w:sz w:val="24"/>
          <w:highlight w:val="none"/>
        </w:rPr>
        <w:t>4. 磋商费用（实质性要求）</w:t>
      </w:r>
      <w:bookmarkEnd w:id="22"/>
    </w:p>
    <w:p>
      <w:pPr>
        <w:tabs>
          <w:tab w:val="left" w:pos="7665"/>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供应商参加磋商的有关一切费用由供应商自行承担。</w:t>
      </w:r>
    </w:p>
    <w:p>
      <w:pPr>
        <w:pStyle w:val="6"/>
        <w:snapToGrid w:val="0"/>
        <w:spacing w:line="360" w:lineRule="auto"/>
        <w:ind w:firstLine="481" w:firstLineChars="200"/>
        <w:rPr>
          <w:rFonts w:hint="eastAsia" w:ascii="宋体" w:hAnsi="宋体" w:eastAsia="宋体" w:cs="宋体"/>
          <w:color w:val="auto"/>
          <w:sz w:val="24"/>
          <w:highlight w:val="none"/>
        </w:rPr>
      </w:pPr>
      <w:bookmarkStart w:id="23" w:name="_Toc284"/>
      <w:r>
        <w:rPr>
          <w:rFonts w:hint="eastAsia" w:ascii="宋体" w:hAnsi="宋体" w:eastAsia="宋体" w:cs="宋体"/>
          <w:color w:val="auto"/>
          <w:sz w:val="24"/>
          <w:highlight w:val="none"/>
        </w:rPr>
        <w:t>5. 充分、公平竞争保障措施（实质性要求）</w:t>
      </w:r>
      <w:bookmarkEnd w:id="23"/>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5.1利害关系供应商处理</w:t>
      </w:r>
      <w:r>
        <w:rPr>
          <w:rFonts w:hint="eastAsia" w:ascii="宋体" w:hAnsi="宋体" w:eastAsia="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5.2利害关系授权代表处理。</w:t>
      </w:r>
      <w:r>
        <w:rPr>
          <w:rFonts w:hint="eastAsia" w:ascii="宋体" w:hAnsi="宋体" w:eastAsia="宋体" w:cs="宋体"/>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5.3前期参与供应商处理。</w:t>
      </w: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5.4提供相同品牌产品处理（</w:t>
      </w:r>
      <w:r>
        <w:rPr>
          <w:rFonts w:hint="eastAsia" w:ascii="宋体" w:hAnsi="宋体" w:eastAsia="宋体" w:cs="宋体"/>
          <w:b/>
          <w:bCs/>
          <w:color w:val="auto"/>
          <w:sz w:val="24"/>
          <w:highlight w:val="none"/>
          <w:lang w:eastAsia="zh-CN"/>
        </w:rPr>
        <w:t>不涉及</w:t>
      </w:r>
      <w:r>
        <w:rPr>
          <w:rFonts w:hint="eastAsia"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非单一产品采购项目中，多家供应商提供的部分或所有核心产品品牌相同的，视为提供相同品牌产品。</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5.5供应商实际控制人或者中高级管理人员，同时是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，不得参与本项目政府采购活动。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5.7供应商与</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存在关联关系，或者是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的母公司或子公司，不得参加本项目政府采购活动。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5.8回避。政府采购活动中，采购人员及相关人员与供应商有下列利害关系之一的，应当回避：</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负责采购项目的具体经办工作人员和直接分管采购活动的负责人。本项目政府采购活动中需要依法回避的相关人员是指磋商小组成员。</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书面提出回避申请，并说明理由。采购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将及时询问被申请回避人员，有利害关系的被申请回避人员应当回避。</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6.联合体竞争性磋商（仅适用于允许联合体参与的项目）</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6"/>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7.磋商保证金</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不涉及）</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供应商必须以人民币为计量单位提交磋商文件规定数额的磋商保证金。</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未按磋商文件要求在规定时间前交纳规定数额磋商保证金的响应文件无效。</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供应商所交纳的磋商保证金不计利息。</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8.响应文件有效期（实质性要求）</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本项目响应文件有效期为递交磋商响应文件截止之日起90天。</w:t>
      </w:r>
      <w:r>
        <w:rPr>
          <w:rFonts w:hint="eastAsia" w:ascii="宋体" w:hAnsi="宋体" w:eastAsia="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9.知识产权（实质性要求）</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除非磋商文件特别规定，采购人享有本项目实施过程中产生的知识成果及知识产权。</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rPr>
        <w:t>使用该知识成果后，供应商需提供开发接口和开发手册等技术资料，并承诺提供无限期支持，采购人享有使用权（含采购人委托第三方在该项目后续开发的使用权）。</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p>
    <w:p>
      <w:pPr>
        <w:pStyle w:val="5"/>
        <w:snapToGrid w:val="0"/>
        <w:spacing w:line="360" w:lineRule="auto"/>
        <w:jc w:val="center"/>
        <w:rPr>
          <w:rFonts w:ascii="黑体"/>
          <w:bCs w:val="0"/>
          <w:color w:val="auto"/>
          <w:highlight w:val="none"/>
        </w:rPr>
      </w:pPr>
      <w:bookmarkStart w:id="24" w:name="_Toc24010"/>
      <w:bookmarkStart w:id="25" w:name="_Toc30248"/>
      <w:r>
        <w:rPr>
          <w:rFonts w:hint="eastAsia" w:ascii="宋体" w:hAnsi="宋体" w:eastAsia="宋体" w:cs="宋体"/>
          <w:bCs w:val="0"/>
          <w:color w:val="auto"/>
          <w:highlight w:val="none"/>
        </w:rPr>
        <w:t>三、磋商文件</w:t>
      </w:r>
      <w:bookmarkEnd w:id="24"/>
      <w:bookmarkEnd w:id="25"/>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6" w:name="_Toc208848971"/>
      <w:bookmarkStart w:id="27" w:name="_Toc217446041"/>
      <w:r>
        <w:rPr>
          <w:rFonts w:hint="eastAsia" w:ascii="宋体" w:hAnsi="宋体" w:eastAsia="宋体" w:cs="宋体"/>
          <w:color w:val="auto"/>
          <w:sz w:val="24"/>
          <w:szCs w:val="24"/>
          <w:highlight w:val="none"/>
        </w:rPr>
        <w:t>10．磋商文件的构成（实质性要求）</w:t>
      </w:r>
    </w:p>
    <w:p>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8" w:name="_Toc183682348"/>
      <w:bookmarkStart w:id="29" w:name="_Toc183582211"/>
      <w:bookmarkStart w:id="30" w:name="_Toc217446040"/>
      <w:r>
        <w:rPr>
          <w:rFonts w:hint="eastAsia" w:ascii="宋体" w:hAnsi="宋体" w:eastAsia="宋体" w:cs="宋体"/>
          <w:color w:val="auto"/>
          <w:sz w:val="24"/>
          <w:szCs w:val="24"/>
          <w:highlight w:val="none"/>
        </w:rPr>
        <w:t>11. 磋商文件的澄清</w:t>
      </w:r>
      <w:bookmarkEnd w:id="28"/>
      <w:bookmarkEnd w:id="29"/>
      <w:r>
        <w:rPr>
          <w:rFonts w:hint="eastAsia" w:ascii="宋体" w:hAnsi="宋体" w:eastAsia="宋体" w:cs="宋体"/>
          <w:color w:val="auto"/>
          <w:sz w:val="24"/>
          <w:szCs w:val="24"/>
          <w:highlight w:val="none"/>
        </w:rPr>
        <w:t>和修改</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在递交响应文件截止时间前，采购人可以对磋商文件进行澄清或者修改。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color w:val="auto"/>
          <w:sz w:val="24"/>
          <w:highlight w:val="none"/>
        </w:rPr>
        <w:t>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szCs w:val="24"/>
          <w:highlight w:val="none"/>
        </w:rPr>
        <w:t>对已发出的磋商文件进行澄清或者修改，应当以书面形式将澄清或者修改的内容通知所有购买了磋商文件的供应商，同时在</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政府采购网上发布更正公告。该澄清或者修改的内容为磋商文件的组成部分，澄清或者修改的内容可能影响响应文件编制的，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rPr>
        <w:t>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11.3供应商认为采购人需要对磋商文件进行澄清或者修改的，可以在3日内以书面形式向采购人提出申请，由采购人决定是否采纳供应商的申请事项。</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答疑会和现场考察</w:t>
      </w:r>
      <w:bookmarkEnd w:id="26"/>
      <w:bookmarkEnd w:id="2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ascii="宋体" w:hAnsi="宋体" w:eastAsia="宋体" w:cs="宋体"/>
          <w:color w:val="auto"/>
          <w:sz w:val="24"/>
          <w:szCs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5"/>
        <w:snapToGrid w:val="0"/>
        <w:spacing w:line="360" w:lineRule="auto"/>
        <w:jc w:val="center"/>
        <w:rPr>
          <w:rFonts w:ascii="宋体" w:hAnsi="宋体" w:eastAsia="宋体" w:cs="宋体"/>
          <w:bCs w:val="0"/>
          <w:color w:val="auto"/>
          <w:highlight w:val="none"/>
        </w:rPr>
      </w:pPr>
      <w:bookmarkStart w:id="31" w:name="_Toc29188"/>
      <w:bookmarkStart w:id="32" w:name="_Toc32563"/>
      <w:r>
        <w:rPr>
          <w:rFonts w:hint="eastAsia" w:ascii="宋体" w:hAnsi="宋体" w:eastAsia="宋体" w:cs="宋体"/>
          <w:bCs w:val="0"/>
          <w:color w:val="auto"/>
          <w:highlight w:val="none"/>
        </w:rPr>
        <w:t>四、响应文件</w:t>
      </w:r>
      <w:bookmarkEnd w:id="31"/>
      <w:bookmarkEnd w:id="32"/>
    </w:p>
    <w:p>
      <w:pPr>
        <w:pStyle w:val="6"/>
        <w:snapToGrid w:val="0"/>
        <w:spacing w:line="360" w:lineRule="auto"/>
        <w:ind w:firstLine="481" w:firstLineChars="200"/>
        <w:rPr>
          <w:rFonts w:hint="eastAsia" w:ascii="宋体" w:hAnsi="宋体" w:eastAsia="宋体" w:cs="宋体"/>
          <w:color w:val="auto"/>
          <w:sz w:val="24"/>
          <w:highlight w:val="none"/>
        </w:rPr>
      </w:pPr>
      <w:bookmarkStart w:id="33" w:name="_Toc217446043"/>
      <w:bookmarkStart w:id="34" w:name="_Toc183682352"/>
      <w:bookmarkStart w:id="35" w:name="_Toc183582215"/>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13.1资格性响应文件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供应商按照磋商文件要求提供的有效资质证明文件（</w:t>
      </w:r>
      <w:r>
        <w:rPr>
          <w:rFonts w:hint="eastAsia" w:ascii="宋体" w:hAnsi="宋体" w:eastAsia="宋体" w:cs="宋体"/>
          <w:b/>
          <w:bCs/>
          <w:color w:val="auto"/>
          <w:sz w:val="24"/>
          <w:highlight w:val="none"/>
        </w:rPr>
        <w:t>详见竞争性磋商文件第五章</w:t>
      </w:r>
      <w:r>
        <w:rPr>
          <w:rFonts w:hint="eastAsia" w:ascii="宋体" w:hAnsi="宋体" w:eastAsia="宋体" w:cs="宋体"/>
          <w:color w:val="auto"/>
          <w:sz w:val="24"/>
          <w:highlight w:val="none"/>
        </w:rPr>
        <w:t>）。包括以下内容：</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（1）磋商承诺函； </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（3）良好商业信誉的证明材料</w:t>
      </w:r>
      <w:r>
        <w:rPr>
          <w:rFonts w:hint="eastAsia" w:ascii="宋体" w:hAnsi="宋体" w:eastAsia="宋体" w:cs="宋体"/>
          <w:color w:val="auto"/>
          <w:sz w:val="24"/>
          <w:highlight w:val="none"/>
          <w:lang w:eastAsia="zh-CN"/>
        </w:rPr>
        <w:t>（可提供承诺函）</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（4）具备健全的财务会计制度的证明材料；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（5）依法缴纳税和社会保障资金的证明材料</w:t>
      </w:r>
      <w:r>
        <w:rPr>
          <w:rFonts w:hint="eastAsia" w:ascii="宋体" w:hAnsi="宋体" w:eastAsia="宋体" w:cs="宋体"/>
          <w:color w:val="auto"/>
          <w:sz w:val="24"/>
          <w:highlight w:val="none"/>
          <w:lang w:eastAsia="zh-CN"/>
        </w:rPr>
        <w:t>（可提供承诺函）</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（6）具备履行合同所必需的设备和专业技术能力的证明材料</w:t>
      </w:r>
      <w:r>
        <w:rPr>
          <w:rFonts w:hint="eastAsia" w:ascii="宋体" w:hAnsi="宋体" w:eastAsia="宋体" w:cs="宋体"/>
          <w:color w:val="auto"/>
          <w:sz w:val="24"/>
          <w:highlight w:val="none"/>
          <w:lang w:eastAsia="zh-CN"/>
        </w:rPr>
        <w:t>（可提供承诺函）</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（7）参加政府采购活动前三年内在经营活动中没有重大违法记录的承诺函；</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）法定代表人授权书原件、法定代表人和授权代表</w:t>
      </w:r>
      <w:r>
        <w:rPr>
          <w:rFonts w:hint="eastAsia" w:ascii="宋体" w:hAnsi="宋体" w:eastAsia="宋体" w:cs="宋体"/>
          <w:color w:val="auto"/>
          <w:sz w:val="24"/>
          <w:highlight w:val="none"/>
          <w:lang w:eastAsia="zh-CN"/>
        </w:rPr>
        <w:t>身份证复印件</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）供应商符合磋商文件规定的资格、资质性及其他具有类似效力要求的相关证明材料；</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）供应商认为需要提供的其他证明材料。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13.2其他响应文件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（3）中小企业（监狱企业）声明函（若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（4）残疾人福利性单位声明函（若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商务应答表；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技术应答表；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供应商基本情况表；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（实施方案、服务方案及其他文件要求的相关资料）</w:t>
      </w:r>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 供应商类似项目业绩一览表（若有）；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 售后服务相关资料（若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供应商本项目管理、技术、服务人员情况表；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（12）磋商文件中要求提供的其他文件和资料（若有）；</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（13）供应商认为需要提供的其他文件和资料（若有）。</w:t>
      </w:r>
    </w:p>
    <w:p>
      <w:pPr>
        <w:pStyle w:val="6"/>
        <w:keepNext w:val="0"/>
        <w:keepLines w:val="0"/>
        <w:spacing w:line="360" w:lineRule="auto"/>
        <w:ind w:firstLine="481"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183582216"/>
      <w:bookmarkStart w:id="37" w:name="_Toc183682353"/>
      <w:bookmarkStart w:id="38" w:name="_Toc217446044"/>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pPr>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bookmarkStart w:id="39" w:name="_Toc217446045"/>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本次磋商项目的</w:t>
      </w:r>
      <w:r>
        <w:rPr>
          <w:rFonts w:hint="eastAsia" w:ascii="宋体" w:hAnsi="宋体" w:eastAsia="宋体" w:cs="宋体"/>
          <w:color w:val="auto"/>
          <w:sz w:val="24"/>
          <w:highlight w:val="none"/>
        </w:rPr>
        <w:t>报价货币为</w:t>
      </w:r>
      <w:r>
        <w:rPr>
          <w:rFonts w:hint="eastAsia" w:ascii="宋体" w:hAnsi="宋体" w:eastAsia="宋体" w:cs="宋体"/>
          <w:bCs/>
          <w:color w:val="auto"/>
          <w:sz w:val="24"/>
          <w:highlight w:val="none"/>
        </w:rPr>
        <w:t>人民币，报价以磋商文件规定为准。</w:t>
      </w:r>
    </w:p>
    <w:bookmarkEnd w:id="39"/>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 供应商应执行磋商文件第三章的规定要求。</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对于没有格式要求的磋商文件由供应商自行编写。</w:t>
      </w:r>
      <w:bookmarkStart w:id="40" w:name="_Toc183582224"/>
      <w:bookmarkStart w:id="41" w:name="_Toc217446051"/>
      <w:bookmarkStart w:id="42" w:name="_Toc183682361"/>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 资格性响应文件正本壹份副本贰份</w:t>
      </w:r>
      <w:r>
        <w:rPr>
          <w:rFonts w:hint="eastAsia" w:ascii="宋体" w:hAnsi="宋体" w:eastAsia="宋体" w:cs="宋体"/>
          <w:bCs/>
          <w:color w:val="auto"/>
          <w:sz w:val="24"/>
          <w:highlight w:val="none"/>
        </w:rPr>
        <w:t>，并在其封面上清楚地标明资格性响应文件、采购项目名称、采购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其他响应文件正本壹份副本贰份，并在其封面上清楚地标明其他响应文件、采购项目名称、采购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w:t>
      </w:r>
      <w:r>
        <w:rPr>
          <w:rFonts w:hint="eastAsia" w:ascii="宋体" w:hAnsi="宋体" w:eastAsia="宋体" w:cs="宋体"/>
          <w:b/>
          <w:bCs w:val="0"/>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18.9响应文件统一用A4幅面纸印制，除另有规定外。</w:t>
      </w:r>
    </w:p>
    <w:p>
      <w:pPr>
        <w:pStyle w:val="6"/>
        <w:spacing w:line="360" w:lineRule="auto"/>
        <w:ind w:firstLine="481" w:firstLineChars="200"/>
        <w:rPr>
          <w:rFonts w:hint="eastAsia" w:ascii="宋体" w:hAnsi="宋体" w:eastAsia="宋体" w:cs="宋体"/>
          <w:color w:val="auto"/>
          <w:highlight w:val="none"/>
        </w:rPr>
      </w:pPr>
      <w:bookmarkStart w:id="43" w:name="_Toc89075877"/>
      <w:bookmarkStart w:id="44" w:name="_Toc217446053"/>
      <w:bookmarkStart w:id="45" w:name="_Toc183582226"/>
      <w:bookmarkStart w:id="46" w:name="_Toc183682363"/>
      <w:bookmarkStart w:id="47" w:name="_Toc77400781"/>
      <w:r>
        <w:rPr>
          <w:rFonts w:hint="eastAsia" w:ascii="宋体" w:hAnsi="宋体" w:eastAsia="宋体" w:cs="宋体"/>
          <w:color w:val="auto"/>
          <w:sz w:val="24"/>
          <w:highlight w:val="none"/>
        </w:rPr>
        <w:t>19.响应文件的密封和标注（不属于本项目磋商小组评审范畴，由采购人在接收响应文件时及时处理）</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响应文件密封袋的最外层应清楚地标明采购项目名称、采购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、包件号及名称（若有）、供应商名称。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未按以上要求进行密封和标注的响应文件，采购人将拒收或者在时间允许的范围内，要求修改完善后接收。</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拒绝接收截止时间后送达的响应文件。</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bookmarkEnd w:id="43"/>
    <w:bookmarkEnd w:id="44"/>
    <w:bookmarkEnd w:id="45"/>
    <w:bookmarkEnd w:id="46"/>
    <w:bookmarkEnd w:id="47"/>
    <w:p>
      <w:pPr>
        <w:pStyle w:val="6"/>
        <w:keepNext w:val="0"/>
        <w:keepLines w:val="0"/>
        <w:spacing w:line="360" w:lineRule="auto"/>
        <w:ind w:firstLine="481" w:firstLineChars="200"/>
        <w:rPr>
          <w:rFonts w:hint="eastAsia" w:ascii="宋体" w:hAnsi="宋体" w:eastAsia="宋体" w:cs="宋体"/>
          <w:color w:val="auto"/>
          <w:sz w:val="24"/>
          <w:highlight w:val="none"/>
        </w:rPr>
      </w:pPr>
      <w:bookmarkStart w:id="48" w:name="_Toc183682365"/>
      <w:bookmarkStart w:id="49" w:name="_Toc183582228"/>
      <w:bookmarkStart w:id="50" w:name="_Toc21744605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ascii="宋体" w:hAnsi="宋体" w:eastAsia="宋体" w:cs="宋体"/>
          <w:color w:val="auto"/>
          <w:sz w:val="24"/>
          <w:highlight w:val="none"/>
        </w:rPr>
        <w:t>21.5供应商对其提交的响应文件的真实性、合法性承担法律责任。</w:t>
      </w:r>
      <w:bookmarkEnd w:id="48"/>
      <w:bookmarkEnd w:id="49"/>
      <w:bookmarkEnd w:id="50"/>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6"/>
        <w:keepNext w:val="0"/>
        <w:keepLines w:val="0"/>
        <w:spacing w:line="360" w:lineRule="auto"/>
        <w:ind w:firstLine="481"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采购人确定成交供应商过程中，发现成交候选供应商有下列情形之一的，应当不予确定其为成交供应商：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pPr>
        <w:pStyle w:val="6"/>
        <w:keepNext w:val="0"/>
        <w:keepLines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25.1采购人确定成交供应商后，将及时书面通知</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，发出成交通知书并发布成交结果公告。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25.2成交供应商应当及时领取成交通知书。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25.3成交供应商不能及时领取成交通知书，采购人应当通过邮寄、快递等方式将项目成交通知书送达成交供应商。</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26.1成交通知书为签订政府采购合同的依据之一，是合同的有效组成部分。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6"/>
        <w:spacing w:line="360" w:lineRule="auto"/>
        <w:ind w:firstLine="481" w:firstLineChars="200"/>
        <w:rPr>
          <w:rFonts w:hint="eastAsia" w:ascii="宋体" w:hAnsi="宋体" w:eastAsia="宋体" w:cs="宋体"/>
          <w:color w:val="auto"/>
          <w:sz w:val="24"/>
          <w:highlight w:val="none"/>
        </w:rPr>
      </w:pPr>
      <w:bookmarkStart w:id="51" w:name="_Toc101250646"/>
      <w:bookmarkStart w:id="52" w:name="_Toc430773927"/>
      <w:bookmarkStart w:id="53" w:name="_Toc209847069"/>
      <w:bookmarkStart w:id="54" w:name="_Toc101338364"/>
      <w:bookmarkStart w:id="55" w:name="_Toc101174151"/>
      <w:r>
        <w:rPr>
          <w:rFonts w:hint="eastAsia" w:ascii="宋体" w:hAnsi="宋体" w:eastAsia="宋体" w:cs="宋体"/>
          <w:color w:val="auto"/>
          <w:sz w:val="24"/>
          <w:highlight w:val="none"/>
        </w:rPr>
        <w:t>27.签订合同</w:t>
      </w:r>
      <w:bookmarkEnd w:id="51"/>
      <w:bookmarkEnd w:id="52"/>
      <w:bookmarkEnd w:id="53"/>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6"/>
        <w:spacing w:line="360" w:lineRule="auto"/>
        <w:ind w:firstLine="481"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 中小企业</w:t>
      </w:r>
      <w:r>
        <w:rPr>
          <w:rFonts w:hint="eastAsia" w:ascii="宋体" w:hAnsi="宋体" w:eastAsia="宋体" w:cs="宋体"/>
          <w:color w:val="auto"/>
          <w:sz w:val="24"/>
          <w:highlight w:val="none"/>
          <w:lang w:val="en-US" w:eastAsia="zh-CN"/>
        </w:rPr>
        <w:t>根据《政府采购促进中小企业发展管理办法》（财库〔2020〕46号）及关于进一步加大政府采购支持中小企业力度的通知（</w:t>
      </w:r>
      <w:r>
        <w:rPr>
          <w:rFonts w:hint="eastAsia" w:ascii="宋体" w:hAnsi="宋体" w:eastAsia="宋体" w:cs="宋体"/>
          <w:color w:val="auto"/>
          <w:sz w:val="24"/>
          <w:highlight w:val="none"/>
          <w:lang w:val="zh-CN"/>
        </w:rPr>
        <w:t>财库〔2022〕19号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规定的政策获取政府采购合同后，小型、微型企业不得分包或转包给大型、中型企业，中型企业不得分包或转包给大型企业。</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360" w:lineRule="auto"/>
        <w:ind w:firstLine="481"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ascii="宋体" w:hAnsi="宋体" w:eastAsia="宋体" w:cs="宋体"/>
          <w:color w:val="auto"/>
          <w:sz w:val="24"/>
          <w:highlight w:val="none"/>
          <w:lang w:eastAsia="zh-CN"/>
        </w:rPr>
        <w:t>若涉及</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在合同履行过程中，如发生合同纠纷，合同双方应按照《</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》的有关规定进行处理。</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.1本项目采购人</w:t>
      </w:r>
      <w:r>
        <w:rPr>
          <w:rFonts w:hint="eastAsia" w:ascii="宋体" w:hAnsi="宋体" w:eastAsia="宋体" w:cs="宋体"/>
          <w:color w:val="auto"/>
          <w:sz w:val="24"/>
          <w:highlight w:val="none"/>
          <w:lang w:eastAsia="zh-CN"/>
        </w:rPr>
        <w:t>将严格</w:t>
      </w:r>
      <w:r>
        <w:rPr>
          <w:rFonts w:hint="eastAsia" w:ascii="宋体" w:hAnsi="宋体" w:eastAsia="宋体" w:cs="宋体"/>
          <w:color w:val="auto"/>
          <w:sz w:val="24"/>
          <w:highlight w:val="none"/>
        </w:rPr>
        <w:t>按照《财政部关于进一步加强政府采购需求和履约验收管理的指导意见》（财库〔2016〕205号）等政府采购相关法律法规的要求进行验收。</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验收结果合格的，成交供应商到采购人处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.资金支付</w:t>
      </w:r>
    </w:p>
    <w:p>
      <w:pPr>
        <w:spacing w:line="360" w:lineRule="auto"/>
        <w:ind w:firstLine="480" w:firstLineChars="200"/>
        <w:rPr>
          <w:color w:val="auto"/>
          <w:highlight w:val="none"/>
        </w:rPr>
      </w:pPr>
      <w:r>
        <w:rPr>
          <w:rFonts w:hint="eastAsia" w:ascii="宋体" w:hAnsi="宋体" w:eastAsia="宋体" w:cs="宋体"/>
          <w:color w:val="auto"/>
          <w:sz w:val="24"/>
          <w:highlight w:val="none"/>
        </w:rPr>
        <w:t>采购人将按照政府采购合同规定，及时向成交供应商支付采购资金。本项目采购资金采取直接支付或授权支付。</w:t>
      </w:r>
    </w:p>
    <w:p>
      <w:pPr>
        <w:pStyle w:val="3"/>
        <w:rPr>
          <w:color w:val="auto"/>
          <w:highlight w:val="none"/>
        </w:rPr>
      </w:pP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.供应商不得具有的情形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其他供应商恶意串通；</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（5）在磋商过程中与采购人进行协商；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w:t>
      </w:r>
    </w:p>
    <w:p>
      <w:pPr>
        <w:pStyle w:val="6"/>
        <w:numPr>
          <w:ilvl w:val="0"/>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36.</w:t>
      </w:r>
      <w:r>
        <w:rPr>
          <w:rFonts w:hint="eastAsia" w:ascii="宋体" w:hAnsi="宋体" w:eastAsia="宋体" w:cs="宋体"/>
          <w:b w:val="0"/>
          <w:bCs w:val="0"/>
          <w:color w:val="auto"/>
          <w:sz w:val="24"/>
          <w:highlight w:val="none"/>
        </w:rPr>
        <w:t>询问、质疑的接收和处理</w:t>
      </w:r>
      <w:r>
        <w:rPr>
          <w:rFonts w:hint="eastAsia" w:ascii="宋体" w:hAnsi="宋体" w:eastAsia="宋体" w:cs="宋体"/>
          <w:b w:val="0"/>
          <w:bCs w:val="0"/>
          <w:color w:val="auto"/>
          <w:sz w:val="24"/>
          <w:highlight w:val="none"/>
          <w:lang w:val="en-US" w:eastAsia="zh-CN"/>
        </w:rPr>
        <w:t>参</w:t>
      </w:r>
      <w:r>
        <w:rPr>
          <w:rFonts w:hint="eastAsia" w:ascii="宋体" w:hAnsi="宋体" w:eastAsia="宋体" w:cs="宋体"/>
          <w:b w:val="0"/>
          <w:bCs w:val="0"/>
          <w:color w:val="auto"/>
          <w:sz w:val="24"/>
          <w:highlight w:val="none"/>
        </w:rPr>
        <w:t>照《中华</w:t>
      </w:r>
      <w:r>
        <w:rPr>
          <w:rFonts w:hint="eastAsia" w:ascii="宋体" w:hAnsi="宋体" w:eastAsia="宋体" w:cs="宋体"/>
          <w:b w:val="0"/>
          <w:bCs w:val="0"/>
          <w:color w:val="auto"/>
          <w:sz w:val="24"/>
          <w:highlight w:val="none"/>
          <w:lang w:eastAsia="zh-CN"/>
        </w:rPr>
        <w:t>人民</w:t>
      </w:r>
      <w:r>
        <w:rPr>
          <w:rFonts w:hint="eastAsia" w:ascii="宋体" w:hAnsi="宋体" w:eastAsia="宋体" w:cs="宋体"/>
          <w:b w:val="0"/>
          <w:bCs w:val="0"/>
          <w:color w:val="auto"/>
          <w:sz w:val="24"/>
          <w:highlight w:val="none"/>
        </w:rPr>
        <w:t>共和国政府采购法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中华人民共和国政府采购法实施条例</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财政部关于加强政府采购供应商投诉受理审查工作的通知》和四川省的有关规定办理（详细规定请在四川政府采购网政策法规模块查询）。</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.本磋商文件中所</w:t>
      </w:r>
      <w:r>
        <w:rPr>
          <w:rFonts w:hint="eastAsia" w:ascii="宋体" w:hAnsi="宋体" w:eastAsia="宋体" w:cs="宋体"/>
          <w:b w:val="0"/>
          <w:bCs w:val="0"/>
          <w:color w:val="auto"/>
          <w:sz w:val="24"/>
          <w:szCs w:val="24"/>
          <w:highlight w:val="none"/>
          <w:lang w:eastAsia="zh-CN"/>
        </w:rPr>
        <w:t>引用</w:t>
      </w:r>
      <w:r>
        <w:rPr>
          <w:rFonts w:hint="eastAsia" w:ascii="宋体" w:hAnsi="宋体" w:eastAsia="宋体" w:cs="宋体"/>
          <w:b w:val="0"/>
          <w:bCs w:val="0"/>
          <w:color w:val="auto"/>
          <w:sz w:val="24"/>
          <w:szCs w:val="24"/>
          <w:highlight w:val="none"/>
        </w:rPr>
        <w:t>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lang w:val="en-US" w:eastAsia="zh-CN"/>
        </w:rPr>
        <w:t>其中较大数额罚款按照（财库〔2022〕3 号）执行“认定为200万元以上的罚款，法律、行政法规以及国务院有关部门明确规定相关领域“较大数额罚款”标准高于200万元的，从其规定”。</w:t>
      </w:r>
    </w:p>
    <w:p>
      <w:pPr>
        <w:pStyle w:val="6"/>
        <w:spacing w:line="360" w:lineRule="auto"/>
        <w:ind w:firstLine="480" w:firstLineChars="200"/>
        <w:rPr>
          <w:rFonts w:hint="eastAsia" w:ascii="宋体" w:hAnsi="宋体" w:eastAsia="宋体" w:cs="宋体"/>
          <w:b w:val="0"/>
          <w:bCs w:val="0"/>
          <w:color w:val="auto"/>
          <w:sz w:val="24"/>
          <w:szCs w:val="24"/>
          <w:highlight w:val="none"/>
        </w:rPr>
      </w:pPr>
    </w:p>
    <w:p>
      <w:pPr>
        <w:pStyle w:val="4"/>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3615"/>
      <w:bookmarkStart w:id="57" w:name="_Toc3284"/>
      <w:bookmarkStart w:id="58" w:name="_Toc16205"/>
      <w:bookmarkStart w:id="59" w:name="_Toc1648"/>
      <w:bookmarkStart w:id="60" w:name="_Toc27779"/>
      <w:bookmarkStart w:id="61" w:name="_Toc17214"/>
      <w:bookmarkStart w:id="62" w:name="_Toc32437"/>
      <w:bookmarkStart w:id="63" w:name="_Toc7937"/>
      <w:bookmarkStart w:id="64" w:name="_Toc24396_WPSOffice_Level1"/>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pPr>
        <w:pStyle w:val="14"/>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w:t>
      </w:r>
    </w:p>
    <w:p>
      <w:pPr>
        <w:pStyle w:val="14"/>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4"/>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rPr>
          <w:color w:val="auto"/>
          <w:highlight w:val="none"/>
        </w:rPr>
      </w:pPr>
      <w:bookmarkStart w:id="65" w:name="_Toc21024"/>
    </w:p>
    <w:p>
      <w:pPr>
        <w:pStyle w:val="3"/>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3"/>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3"/>
        <w:spacing w:line="360" w:lineRule="auto"/>
        <w:rPr>
          <w:rFonts w:hAnsi="宋体" w:eastAsia="宋体" w:cs="宋体"/>
          <w:b/>
          <w:bCs/>
          <w:color w:val="auto"/>
          <w:sz w:val="32"/>
          <w:szCs w:val="32"/>
          <w:highlight w:val="none"/>
        </w:rPr>
      </w:pPr>
    </w:p>
    <w:p>
      <w:pPr>
        <w:pStyle w:val="3"/>
        <w:spacing w:line="360" w:lineRule="auto"/>
        <w:rPr>
          <w:rFonts w:hAnsi="宋体" w:eastAsia="宋体" w:cs="宋体"/>
          <w:b/>
          <w:bCs/>
          <w:color w:val="auto"/>
          <w:sz w:val="32"/>
          <w:szCs w:val="32"/>
          <w:highlight w:val="none"/>
        </w:rPr>
      </w:pPr>
    </w:p>
    <w:p>
      <w:pPr>
        <w:pStyle w:val="3"/>
        <w:spacing w:line="360" w:lineRule="auto"/>
        <w:rPr>
          <w:rFonts w:hAnsi="宋体" w:eastAsia="宋体" w:cs="宋体"/>
          <w:b/>
          <w:bCs/>
          <w:color w:val="auto"/>
          <w:sz w:val="32"/>
          <w:szCs w:val="32"/>
          <w:highlight w:val="none"/>
        </w:rPr>
      </w:pPr>
    </w:p>
    <w:p>
      <w:pPr>
        <w:pStyle w:val="3"/>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3"/>
        <w:spacing w:line="360" w:lineRule="auto"/>
        <w:rPr>
          <w:color w:val="auto"/>
          <w:highlight w:val="none"/>
        </w:rPr>
      </w:pPr>
      <w:bookmarkStart w:id="66" w:name="_Toc16089"/>
      <w:r>
        <w:rPr>
          <w:rFonts w:hint="eastAsia"/>
          <w:color w:val="auto"/>
          <w:highlight w:val="none"/>
        </w:rPr>
        <w:t xml:space="preserve">     </w:t>
      </w: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hint="default" w:ascii="黑体" w:hAnsi="黑体" w:eastAsia="黑体"/>
          <w:color w:val="auto"/>
          <w:sz w:val="24"/>
          <w:highlight w:val="none"/>
          <w:lang w:val="en-US" w:eastAsia="zh-CN"/>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r>
        <w:rPr>
          <w:rFonts w:hint="eastAsia" w:ascii="黑体" w:hAnsi="黑体" w:eastAsia="黑体"/>
          <w:color w:val="auto"/>
          <w:sz w:val="24"/>
          <w:highlight w:val="none"/>
          <w:u w:val="single"/>
          <w:lang w:val="en-US" w:eastAsia="zh-CN"/>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7" w:name="_Toc19140"/>
      <w:bookmarkStart w:id="68" w:name="_Toc13268"/>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w:t>
      </w:r>
      <w:r>
        <w:rPr>
          <w:rFonts w:hint="eastAsia"/>
          <w:color w:val="auto"/>
          <w:sz w:val="24"/>
          <w:highlight w:val="none"/>
          <w:lang w:val="en-US" w:eastAsia="zh-CN"/>
        </w:rPr>
        <w:t>人</w:t>
      </w:r>
      <w:r>
        <w:rPr>
          <w:rFonts w:hint="eastAsia"/>
          <w:color w:val="auto"/>
          <w:sz w:val="24"/>
          <w:highlight w:val="none"/>
        </w:rPr>
        <w:t>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（一）具有独立承担民事责任的能力；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（二）具有良好的商业信誉和健全的财务会计制度；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（三）具有履行合同所必需的设备和专业技术能力；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（四）有依法缴纳税收和社会保障资金的良好记录； </w:t>
      </w:r>
    </w:p>
    <w:p>
      <w:pPr>
        <w:spacing w:line="360" w:lineRule="auto"/>
        <w:ind w:firstLine="480" w:firstLineChars="200"/>
        <w:rPr>
          <w:color w:val="auto"/>
          <w:sz w:val="24"/>
          <w:highlight w:val="none"/>
        </w:rPr>
      </w:pPr>
      <w:r>
        <w:rPr>
          <w:rFonts w:hint="eastAsia"/>
          <w:color w:val="auto"/>
          <w:sz w:val="24"/>
          <w:highlight w:val="none"/>
        </w:rPr>
        <w:t>（五）参加政府采购活动前三年内，在经营活动中没有重大违法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color w:val="auto"/>
          <w:sz w:val="24"/>
          <w:highlight w:val="none"/>
        </w:rPr>
        <w:t>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9748"/>
      <w:bookmarkStart w:id="70" w:name="_Toc37"/>
    </w:p>
    <w:p>
      <w:pPr>
        <w:pStyle w:val="3"/>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pPr>
        <w:pStyle w:val="5"/>
        <w:pageBreakBefore w:val="0"/>
        <w:widowControl w:val="0"/>
        <w:numPr>
          <w:ilvl w:val="0"/>
          <w:numId w:val="2"/>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w:t>
      </w:r>
      <w:r>
        <w:rPr>
          <w:rFonts w:hint="eastAsia" w:ascii="宋体" w:hAnsi="宋体" w:eastAsia="宋体" w:cs="宋体"/>
          <w:b/>
          <w:bCs/>
          <w:color w:val="auto"/>
          <w:sz w:val="32"/>
          <w:szCs w:val="32"/>
          <w:highlight w:val="none"/>
          <w:lang w:eastAsia="zh-CN"/>
        </w:rPr>
        <w:t>表人</w:t>
      </w:r>
      <w:r>
        <w:rPr>
          <w:rFonts w:hint="eastAsia" w:ascii="宋体" w:hAnsi="宋体" w:eastAsia="宋体" w:cs="宋体"/>
          <w:b/>
          <w:bCs/>
          <w:color w:val="auto"/>
          <w:sz w:val="32"/>
          <w:szCs w:val="32"/>
          <w:highlight w:val="none"/>
        </w:rPr>
        <w:t>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3"/>
        <w:rPr>
          <w:color w:val="auto"/>
          <w:highlight w:val="none"/>
        </w:rPr>
      </w:pPr>
    </w:p>
    <w:p>
      <w:pPr>
        <w:pStyle w:val="14"/>
        <w:snapToGrid w:val="0"/>
        <w:spacing w:line="360" w:lineRule="auto"/>
        <w:ind w:left="0" w:leftChars="0"/>
        <w:rPr>
          <w:bCs/>
          <w:color w:val="auto"/>
          <w:sz w:val="24"/>
          <w:highlight w:val="none"/>
        </w:rPr>
      </w:pPr>
      <w:r>
        <w:rPr>
          <w:rFonts w:hint="eastAsia"/>
          <w:bCs/>
          <w:color w:val="auto"/>
          <w:sz w:val="24"/>
          <w:highlight w:val="none"/>
        </w:rPr>
        <w:t>____________：</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注：①附法定代表人身份证复印件及授权代表身份证复印件；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3"/>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4"/>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3"/>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3"/>
        <w:rPr>
          <w:rFonts w:hint="eastAsia"/>
          <w:color w:val="auto"/>
          <w:highlight w:val="none"/>
          <w:lang w:val="en-US" w:eastAsia="zh-CN"/>
        </w:rPr>
      </w:pPr>
    </w:p>
    <w:p>
      <w:pPr>
        <w:pStyle w:val="3"/>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3"/>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3"/>
        <w:rPr>
          <w:color w:val="auto"/>
          <w:highlight w:val="none"/>
        </w:r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3"/>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3"/>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3"/>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六、</w:t>
      </w:r>
      <w:bookmarkStart w:id="72" w:name="_Toc22904"/>
      <w:bookmarkStart w:id="73" w:name="_Toc3055"/>
      <w:bookmarkStart w:id="74" w:name="_Toc4506"/>
      <w:r>
        <w:rPr>
          <w:rFonts w:hint="eastAsia" w:ascii="宋体" w:hAnsi="宋体" w:eastAsia="宋体" w:cs="宋体"/>
          <w:color w:val="auto"/>
          <w:highlight w:val="none"/>
        </w:rPr>
        <w:t>近三年在经营活动中没有重大违法违规记录的书面声明</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color w:val="auto"/>
          <w:sz w:val="24"/>
          <w:highlight w:val="none"/>
        </w:rPr>
      </w:pPr>
    </w:p>
    <w:p>
      <w:pPr>
        <w:pStyle w:val="3"/>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rFonts w:hint="eastAsia"/>
          <w:color w:val="auto"/>
          <w:sz w:val="24"/>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r>
        <w:rPr>
          <w:rFonts w:hint="eastAsia" w:asciiTheme="minorEastAsia" w:hAnsiTheme="minorEastAsia" w:cstheme="minorEastAsia"/>
          <w:color w:val="auto"/>
          <w:sz w:val="24"/>
          <w:highlight w:val="none"/>
        </w:rPr>
        <w:t xml:space="preserve">：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供应商的失信行为受到行政处罚或司法惩处的，评审时不再对其进行惩戒。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5"/>
        <w:bidi w:val="0"/>
        <w:jc w:val="center"/>
        <w:rPr>
          <w:rFonts w:hint="eastAsia"/>
          <w:color w:val="auto"/>
          <w:lang w:eastAsia="zh-CN"/>
        </w:rPr>
      </w:pPr>
      <w:r>
        <w:rPr>
          <w:rFonts w:hint="eastAsia"/>
          <w:color w:val="auto"/>
          <w:lang w:val="en-US" w:eastAsia="zh-CN"/>
        </w:rPr>
        <w:t>九、</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（若涉及）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w:t>
      </w:r>
      <w:r>
        <w:rPr>
          <w:rFonts w:hint="eastAsia" w:ascii="宋体" w:hAnsi="宋体" w:eastAsia="宋体"/>
          <w:color w:val="auto"/>
          <w:sz w:val="24"/>
          <w:highlight w:val="none"/>
          <w:lang w:val="en-US" w:eastAsia="zh-CN"/>
        </w:rPr>
        <w:t>采购人</w:t>
      </w:r>
      <w:r>
        <w:rPr>
          <w:rFonts w:hint="eastAsia" w:ascii="宋体" w:hAnsi="宋体" w:eastAsia="宋体"/>
          <w:color w:val="auto"/>
          <w:sz w:val="24"/>
          <w:highlight w:val="none"/>
        </w:rPr>
        <w:t>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3"/>
        <w:rPr>
          <w:rFonts w:hint="default" w:eastAsiaTheme="minorEastAsia"/>
          <w:color w:val="auto"/>
          <w:highlight w:val="none"/>
          <w:lang w:val="en-US" w:eastAsia="zh-CN"/>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日 </w:t>
      </w:r>
    </w:p>
    <w:p>
      <w:pPr>
        <w:pStyle w:val="3"/>
        <w:rPr>
          <w:color w:val="auto"/>
        </w:rPr>
      </w:pPr>
    </w:p>
    <w:p>
      <w:pPr>
        <w:pStyle w:val="3"/>
        <w:rPr>
          <w:rFonts w:asciiTheme="minorEastAsia" w:hAnsiTheme="minorEastAsia" w:cstheme="minorEastAsia"/>
          <w:color w:val="auto"/>
          <w:sz w:val="24"/>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3"/>
        <w:rPr>
          <w:rFonts w:asciiTheme="minorEastAsia" w:hAnsiTheme="minorEastAsia" w:cstheme="minorEastAsia"/>
          <w:color w:val="auto"/>
          <w:sz w:val="24"/>
          <w:highlight w:val="none"/>
        </w:rPr>
      </w:pPr>
    </w:p>
    <w:p>
      <w:pPr>
        <w:pStyle w:val="3"/>
        <w:rPr>
          <w:rFonts w:asciiTheme="minorEastAsia" w:hAnsiTheme="minorEastAsia" w:cstheme="minorEastAsia"/>
          <w:color w:val="auto"/>
          <w:sz w:val="24"/>
          <w:highlight w:val="none"/>
        </w:rPr>
      </w:pPr>
    </w:p>
    <w:p>
      <w:pPr>
        <w:pStyle w:val="3"/>
        <w:rPr>
          <w:rFonts w:asciiTheme="minorEastAsia" w:hAnsiTheme="minorEastAsia" w:cstheme="minorEastAsia"/>
          <w:color w:val="auto"/>
          <w:sz w:val="24"/>
          <w:highlight w:val="none"/>
        </w:rPr>
      </w:pPr>
    </w:p>
    <w:p>
      <w:pPr>
        <w:pStyle w:val="3"/>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3"/>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3"/>
        <w:spacing w:line="360" w:lineRule="auto"/>
        <w:rPr>
          <w:rFonts w:hAnsi="宋体" w:eastAsia="宋体" w:cs="宋体"/>
          <w:b/>
          <w:bCs/>
          <w:color w:val="auto"/>
          <w:sz w:val="32"/>
          <w:szCs w:val="32"/>
          <w:highlight w:val="none"/>
        </w:rPr>
      </w:pPr>
    </w:p>
    <w:p>
      <w:pPr>
        <w:pStyle w:val="3"/>
        <w:spacing w:line="360" w:lineRule="auto"/>
        <w:rPr>
          <w:rFonts w:hAnsi="宋体" w:eastAsia="宋体" w:cs="宋体"/>
          <w:b/>
          <w:bCs/>
          <w:color w:val="auto"/>
          <w:sz w:val="32"/>
          <w:szCs w:val="32"/>
          <w:highlight w:val="none"/>
        </w:rPr>
      </w:pPr>
    </w:p>
    <w:p>
      <w:pPr>
        <w:pStyle w:val="3"/>
        <w:spacing w:line="360" w:lineRule="auto"/>
        <w:rPr>
          <w:rFonts w:hAnsi="宋体" w:eastAsia="宋体" w:cs="宋体"/>
          <w:b/>
          <w:bCs/>
          <w:color w:val="auto"/>
          <w:sz w:val="32"/>
          <w:szCs w:val="32"/>
          <w:highlight w:val="none"/>
        </w:rPr>
      </w:pPr>
    </w:p>
    <w:p>
      <w:pPr>
        <w:pStyle w:val="3"/>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3"/>
        <w:spacing w:line="360" w:lineRule="auto"/>
        <w:rPr>
          <w:color w:val="auto"/>
          <w:highlight w:val="none"/>
        </w:rPr>
      </w:pPr>
      <w:r>
        <w:rPr>
          <w:rFonts w:hint="eastAsia"/>
          <w:color w:val="auto"/>
          <w:highlight w:val="none"/>
        </w:rPr>
        <w:t xml:space="preserve">     </w:t>
      </w: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3"/>
        <w:spacing w:line="360" w:lineRule="auto"/>
        <w:rPr>
          <w:color w:val="auto"/>
          <w:highlight w:val="none"/>
        </w:rPr>
      </w:pPr>
    </w:p>
    <w:p>
      <w:pPr>
        <w:pStyle w:val="5"/>
        <w:spacing w:line="360" w:lineRule="auto"/>
        <w:jc w:val="center"/>
        <w:rPr>
          <w:rFonts w:hint="eastAsia" w:ascii="宋体" w:hAnsi="宋体" w:eastAsia="宋体" w:cs="宋体"/>
          <w:color w:val="auto"/>
          <w:highlight w:val="none"/>
        </w:rPr>
      </w:pPr>
    </w:p>
    <w:p>
      <w:pPr>
        <w:rPr>
          <w:rFonts w:hint="eastAsia"/>
          <w:color w:val="auto"/>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pPr>
        <w:spacing w:beforeLines="100" w:line="360" w:lineRule="auto"/>
        <w:rPr>
          <w:rFonts w:hAnsi="宋体" w:cs="宋体"/>
          <w:color w:val="auto"/>
          <w:sz w:val="24"/>
          <w:highlight w:val="none"/>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hAnsi="宋体" w:cs="宋体"/>
          <w:color w:val="auto"/>
          <w:sz w:val="24"/>
          <w:highlight w:val="none"/>
        </w:rPr>
        <w:t>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四、我方为本项目提交的资格性响应文件正本壹份副本贰份，其他响应文件正本壹份副本贰份，电子文档一份，用于磋商报价。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w:t>
      </w:r>
      <w:r>
        <w:rPr>
          <w:rFonts w:hint="eastAsia" w:hAnsi="宋体" w:cs="宋体"/>
          <w:color w:val="auto"/>
          <w:sz w:val="24"/>
          <w:highlight w:val="none"/>
          <w:lang w:val="en-US" w:eastAsia="zh-CN"/>
        </w:rPr>
        <w:t>为</w:t>
      </w:r>
      <w:r>
        <w:rPr>
          <w:rFonts w:hint="eastAsia" w:hAnsi="宋体" w:cs="宋体"/>
          <w:color w:val="auto"/>
          <w:sz w:val="24"/>
          <w:highlight w:val="none"/>
        </w:rPr>
        <w:t>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 报价应是最终用户验收合格后交付使用的总价。</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2.“报价一览表”为多页的，每页均需由法定代表人或授权代表签字并盖供应商印章。</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5" w:name="_Toc1868"/>
      <w:bookmarkStart w:id="76" w:name="_Toc25301"/>
      <w:r>
        <w:rPr>
          <w:rFonts w:hint="eastAsia" w:hAnsi="宋体" w:eastAsia="宋体" w:cs="宋体"/>
          <w:b/>
          <w:bCs/>
          <w:color w:val="auto"/>
          <w:sz w:val="32"/>
          <w:szCs w:val="32"/>
          <w:highlight w:val="none"/>
        </w:rPr>
        <w:t>三、分项报价明细表</w:t>
      </w:r>
      <w:bookmarkEnd w:id="75"/>
      <w:bookmarkEnd w:id="76"/>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198"/>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78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408" w:type="dxa"/>
            <w:vAlign w:val="center"/>
          </w:tcPr>
          <w:p>
            <w:pPr>
              <w:tabs>
                <w:tab w:val="left" w:pos="1088"/>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单项价格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元</w:t>
            </w:r>
            <w:r>
              <w:rPr>
                <w:rFonts w:hint="eastAsia" w:ascii="宋体" w:hAnsi="宋体" w:eastAsia="宋体" w:cs="宋体"/>
                <w:color w:val="auto"/>
                <w:sz w:val="24"/>
                <w:highlight w:val="none"/>
                <w:lang w:eastAsia="zh-CN"/>
              </w:rPr>
              <w:t>）</w:t>
            </w:r>
          </w:p>
        </w:tc>
        <w:tc>
          <w:tcPr>
            <w:tcW w:w="1422" w:type="dxa"/>
            <w:vAlign w:val="center"/>
          </w:tcPr>
          <w:p>
            <w:pPr>
              <w:tabs>
                <w:tab w:val="left" w:pos="1088"/>
              </w:tabs>
              <w:snapToGrid w:val="0"/>
              <w:spacing w:line="360" w:lineRule="auto"/>
              <w:ind w:left="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61" w:type="dxa"/>
            <w:vAlign w:val="center"/>
          </w:tcPr>
          <w:p>
            <w:pPr>
              <w:tabs>
                <w:tab w:val="left" w:pos="1088"/>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rFonts w:hint="eastAsia" w:ascii="宋体" w:hAnsi="宋体" w:eastAsia="宋体" w:cs="宋体"/>
          <w:color w:val="auto"/>
          <w:highlight w:val="none"/>
        </w:rPr>
      </w:pPr>
      <w:r>
        <w:rPr>
          <w:rFonts w:hint="eastAsia" w:ascii="宋体" w:hAnsi="宋体" w:eastAsia="宋体" w:cs="宋体"/>
          <w:color w:val="auto"/>
          <w:sz w:val="24"/>
          <w:highlight w:val="none"/>
        </w:rPr>
        <w:t>注：1.“</w:t>
      </w:r>
      <w:r>
        <w:rPr>
          <w:rFonts w:hint="eastAsia" w:ascii="宋体" w:hAnsi="宋体" w:eastAsia="宋体" w:cs="宋体"/>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pPr>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bookmarkEnd w:id="77"/>
    <w:p>
      <w:pPr>
        <w:pStyle w:val="3"/>
        <w:spacing w:line="360" w:lineRule="auto"/>
        <w:rPr>
          <w:color w:val="auto"/>
          <w:sz w:val="24"/>
          <w:highlight w:val="none"/>
        </w:rPr>
      </w:pPr>
      <w:bookmarkStart w:id="78" w:name="_Toc468269858"/>
      <w:bookmarkStart w:id="79" w:name="_Toc468268136"/>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3"/>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3"/>
        <w:spacing w:line="360" w:lineRule="auto"/>
        <w:rPr>
          <w:b/>
          <w:bCs/>
          <w:color w:val="auto"/>
          <w:highlight w:val="none"/>
        </w:rPr>
      </w:pPr>
    </w:p>
    <w:p>
      <w:pPr>
        <w:pStyle w:val="3"/>
        <w:spacing w:line="360" w:lineRule="auto"/>
        <w:rPr>
          <w:color w:val="auto"/>
          <w:highlight w:val="none"/>
        </w:rPr>
      </w:pPr>
    </w:p>
    <w:p>
      <w:pPr>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3"/>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rPr>
          <w:rFonts w:hint="eastAsia"/>
          <w:color w:val="auto"/>
          <w:sz w:val="24"/>
          <w:highlight w:val="none"/>
          <w:lang w:eastAsia="zh-CN"/>
        </w:rPr>
      </w:pPr>
      <w:bookmarkStart w:id="80" w:name="_Toc7797"/>
      <w:r>
        <w:rPr>
          <w:rFonts w:hint="eastAsia" w:hAnsi="宋体" w:cs="宋体"/>
          <w:b/>
          <w:bCs/>
          <w:color w:val="auto"/>
          <w:sz w:val="32"/>
          <w:szCs w:val="32"/>
          <w:highlight w:val="none"/>
        </w:rPr>
        <w:br w:type="page"/>
      </w:r>
    </w:p>
    <w:p>
      <w:pPr>
        <w:widowControl/>
        <w:spacing w:line="360" w:lineRule="auto"/>
        <w:jc w:val="left"/>
        <w:rPr>
          <w:rFonts w:hint="eastAsia"/>
          <w:color w:val="auto"/>
          <w:sz w:val="24"/>
          <w:highlight w:val="none"/>
        </w:rPr>
      </w:pP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、商务应答表</w:t>
      </w:r>
      <w:bookmarkEnd w:id="80"/>
    </w:p>
    <w:p>
      <w:pPr>
        <w:pStyle w:val="17"/>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pStyle w:val="17"/>
        <w:pBdr>
          <w:bottom w:val="none" w:color="auto" w:sz="0" w:space="0"/>
        </w:pBdr>
        <w:tabs>
          <w:tab w:val="clear" w:pos="4153"/>
          <w:tab w:val="clear" w:pos="8306"/>
        </w:tabs>
        <w:spacing w:line="360" w:lineRule="auto"/>
        <w:jc w:val="both"/>
        <w:rPr>
          <w:color w:val="auto"/>
          <w:sz w:val="24"/>
          <w:highlight w:val="none"/>
        </w:rPr>
      </w:pPr>
    </w:p>
    <w:p>
      <w:pPr>
        <w:pStyle w:val="17"/>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注：供应商必须据实填写，不得虚假应答，否则将取消其磋商或成交资格。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bl>
    <w:p>
      <w:pPr>
        <w:pStyle w:val="58"/>
        <w:snapToGrid w:val="0"/>
        <w:spacing w:line="360" w:lineRule="auto"/>
        <w:rPr>
          <w:rFonts w:hAnsi="宋体"/>
          <w:color w:val="auto"/>
          <w:highlight w:val="none"/>
        </w:rPr>
      </w:pPr>
      <w:r>
        <w:rPr>
          <w:rFonts w:hint="eastAsia" w:hAnsi="宋体"/>
          <w:color w:val="auto"/>
          <w:highlight w:val="none"/>
        </w:rPr>
        <w:t xml:space="preserve">        </w:t>
      </w:r>
    </w:p>
    <w:p>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注：供应商必须根据磋商文件要求据实逐条填写，不得虚假响应，虚假响应的，其响应文件无效并按规定追究其相关责任。</w:t>
      </w: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bookmarkStart w:id="81" w:name="_Toc30381"/>
      <w:bookmarkStart w:id="82" w:name="_Toc26007"/>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、供应商基本情况表</w:t>
      </w:r>
      <w:bookmarkEnd w:id="81"/>
      <w:bookmarkEnd w:id="82"/>
    </w:p>
    <w:tbl>
      <w:tblPr>
        <w:tblStyle w:val="23"/>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color w:val="auto"/>
          <w:sz w:val="24"/>
          <w:highlight w:val="none"/>
        </w:rPr>
      </w:pPr>
      <w:bookmarkStart w:id="83" w:name="_Toc31838"/>
      <w:bookmarkStart w:id="84" w:name="_Toc26416"/>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、供应商拟委任的项目负责人资历表</w:t>
      </w:r>
      <w:bookmarkEnd w:id="83"/>
      <w:bookmarkEnd w:id="84"/>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3"/>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bCs/>
          <w:color w:val="auto"/>
          <w:sz w:val="24"/>
          <w:highlight w:val="none"/>
        </w:rPr>
      </w:pPr>
      <w:bookmarkStart w:id="85" w:name="_Toc25781"/>
      <w:bookmarkStart w:id="86" w:name="_Toc9449"/>
      <w:r>
        <w:rPr>
          <w:rFonts w:hint="eastAsia" w:ascii="宋体" w:hAnsi="宋体" w:eastAsia="宋体" w:cs="宋体"/>
          <w:color w:val="auto"/>
          <w:highlight w:val="none"/>
        </w:rPr>
        <w:t>十、供应商本项目管理、技术、其他人员情况表</w:t>
      </w:r>
      <w:bookmarkEnd w:id="85"/>
      <w:bookmarkEnd w:id="86"/>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、供应商类似项目业绩一览表</w:t>
      </w:r>
    </w:p>
    <w:tbl>
      <w:tblPr>
        <w:tblStyle w:val="23"/>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3"/>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5"/>
        <w:pageBreakBefore/>
        <w:snapToGrid w:val="0"/>
        <w:spacing w:line="360" w:lineRule="auto"/>
        <w:jc w:val="center"/>
        <w:rPr>
          <w:rFonts w:ascii="宋体" w:hAnsi="宋体" w:eastAsia="宋体" w:cs="宋体"/>
          <w:color w:val="auto"/>
          <w:highlight w:val="none"/>
        </w:rPr>
      </w:pPr>
      <w:bookmarkStart w:id="87" w:name="_Toc17750"/>
      <w:bookmarkStart w:id="88" w:name="_Toc55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3"/>
        <w:rPr>
          <w:rFonts w:hAnsi="宋体" w:cs="Arial"/>
          <w:color w:val="auto"/>
          <w:sz w:val="24"/>
          <w:highlight w:val="none"/>
        </w:rPr>
      </w:pPr>
    </w:p>
    <w:p>
      <w:pPr>
        <w:pStyle w:val="3"/>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3"/>
        <w:rPr>
          <w:b/>
          <w:bCs/>
          <w:color w:val="auto"/>
          <w:sz w:val="44"/>
          <w:szCs w:val="44"/>
          <w:highlight w:val="none"/>
        </w:rPr>
      </w:pPr>
    </w:p>
    <w:p>
      <w:pPr>
        <w:pStyle w:val="3"/>
        <w:rPr>
          <w:b/>
          <w:bCs/>
          <w:color w:val="auto"/>
          <w:sz w:val="44"/>
          <w:szCs w:val="44"/>
          <w:highlight w:val="none"/>
        </w:rPr>
      </w:pPr>
    </w:p>
    <w:p>
      <w:pPr>
        <w:pStyle w:val="3"/>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、制造厂家授权书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如涉及</w:t>
      </w:r>
      <w:r>
        <w:rPr>
          <w:rFonts w:hint="eastAsia" w:ascii="宋体" w:hAnsi="宋体" w:eastAsia="宋体" w:cs="宋体"/>
          <w:color w:val="auto"/>
          <w:highlight w:val="none"/>
          <w:lang w:eastAsia="zh-CN"/>
        </w:rPr>
        <w:t>）</w:t>
      </w:r>
    </w:p>
    <w:p>
      <w:pPr>
        <w:spacing w:line="400" w:lineRule="exact"/>
        <w:jc w:val="center"/>
        <w:rPr>
          <w:rFonts w:ascii="仿宋" w:hAnsi="仿宋" w:eastAsia="仿宋"/>
          <w:b/>
          <w:color w:val="auto"/>
          <w:sz w:val="44"/>
        </w:rPr>
      </w:pPr>
    </w:p>
    <w:p>
      <w:pPr>
        <w:spacing w:beforeLines="100" w:line="360" w:lineRule="auto"/>
        <w:rPr>
          <w:rFonts w:ascii="仿宋" w:hAnsi="仿宋" w:eastAsia="仿宋"/>
          <w:color w:val="auto"/>
          <w:sz w:val="24"/>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pPr>
        <w:widowControl/>
        <w:spacing w:line="360" w:lineRule="auto"/>
        <w:jc w:val="left"/>
        <w:rPr>
          <w:color w:val="auto"/>
          <w:sz w:val="24"/>
          <w:highlight w:val="none"/>
        </w:rPr>
      </w:pPr>
      <w:r>
        <w:rPr>
          <w:rFonts w:hint="eastAsia"/>
          <w:color w:val="auto"/>
          <w:sz w:val="24"/>
          <w:highlight w:val="none"/>
        </w:rPr>
        <w:br w:type="page"/>
      </w:r>
    </w:p>
    <w:p>
      <w:pPr>
        <w:pStyle w:val="5"/>
        <w:bidi w:val="0"/>
        <w:jc w:val="center"/>
        <w:rPr>
          <w:rFonts w:hint="eastAsia"/>
          <w:color w:val="auto"/>
          <w:lang w:val="en-US"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color w:val="auto"/>
          <w:lang w:val="en-US" w:eastAsia="zh-CN"/>
        </w:rPr>
        <w:t>中小企业声明函</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3"/>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在政府采购活动中，监狱企业视同小型、微型企业，享受预留份额、评审中价格扣除等政府采购促进中小企业发展的政府采购政策。</w:t>
      </w:r>
    </w:p>
    <w:p>
      <w:pPr>
        <w:widowControl/>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十五、</w:t>
      </w:r>
      <w:r>
        <w:rPr>
          <w:rFonts w:hint="eastAsia" w:ascii="宋体" w:hAnsi="宋体" w:eastAsia="宋体" w:cs="宋体"/>
          <w:color w:val="auto"/>
          <w:highlight w:val="none"/>
        </w:rPr>
        <w:t>其它供应商认为应该提供的相关材料</w:t>
      </w:r>
    </w:p>
    <w:p>
      <w:pPr>
        <w:rPr>
          <w:rFonts w:asciiTheme="minorEastAsia" w:hAnsiTheme="minorEastAsia" w:cstheme="minorEastAsia"/>
          <w:b/>
          <w:color w:val="auto"/>
          <w:sz w:val="32"/>
          <w:szCs w:val="32"/>
          <w:highlight w:val="none"/>
        </w:rPr>
      </w:pPr>
    </w:p>
    <w:p>
      <w:pPr>
        <w:pStyle w:val="3"/>
        <w:rPr>
          <w:rFonts w:asciiTheme="minorEastAsia" w:hAnsiTheme="minorEastAsia" w:cstheme="minorEastAsia"/>
          <w:b/>
          <w:color w:val="auto"/>
          <w:sz w:val="32"/>
          <w:szCs w:val="32"/>
          <w:highlight w:val="none"/>
        </w:rPr>
      </w:pPr>
    </w:p>
    <w:p>
      <w:pPr>
        <w:pStyle w:val="3"/>
        <w:rPr>
          <w:rFonts w:asciiTheme="minorEastAsia" w:hAnsiTheme="minorEastAsia" w:cstheme="minorEastAsia"/>
          <w:b/>
          <w:color w:val="auto"/>
          <w:sz w:val="32"/>
          <w:szCs w:val="32"/>
          <w:highlight w:val="none"/>
        </w:rPr>
      </w:pPr>
    </w:p>
    <w:p>
      <w:pPr>
        <w:pStyle w:val="3"/>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5"/>
        <w:pageBreakBefore/>
        <w:snapToGrid w:val="0"/>
        <w:spacing w:line="360" w:lineRule="auto"/>
        <w:jc w:val="center"/>
        <w:rPr>
          <w:rFonts w:ascii="宋体" w:hAnsi="宋体" w:eastAsia="宋体" w:cs="宋体"/>
          <w:color w:val="auto"/>
          <w:highlight w:val="none"/>
        </w:rPr>
      </w:pPr>
      <w:bookmarkStart w:id="89" w:name="_Toc10867"/>
      <w:bookmarkStart w:id="90" w:name="_Toc2438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、最终报价表</w:t>
      </w:r>
      <w:bookmarkEnd w:id="89"/>
      <w:bookmarkEnd w:id="90"/>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left"/>
        <w:rPr>
          <w:color w:val="auto"/>
          <w:sz w:val="32"/>
          <w:szCs w:val="32"/>
          <w:highlight w:val="none"/>
        </w:rPr>
      </w:pPr>
    </w:p>
    <w:tbl>
      <w:tblPr>
        <w:tblStyle w:val="23"/>
        <w:tblpPr w:leftFromText="180" w:rightFromText="180" w:vertAnchor="page" w:horzAnchor="page" w:tblpX="1199" w:tblpY="3596"/>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38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最终报价表 </w:t>
            </w:r>
          </w:p>
          <w:p>
            <w:pPr>
              <w:spacing w:line="360" w:lineRule="auto"/>
              <w:ind w:right="31" w:rightChars="1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达州市林业局</w:t>
            </w:r>
            <w:r>
              <w:rPr>
                <w:rFonts w:hint="eastAsia" w:ascii="宋体" w:hAnsi="宋体" w:eastAsia="宋体" w:cs="宋体"/>
                <w:color w:val="auto"/>
                <w:sz w:val="24"/>
                <w:highlight w:val="none"/>
              </w:rPr>
              <w:t>：</w:t>
            </w:r>
          </w:p>
          <w:p>
            <w:pPr>
              <w:spacing w:line="360" w:lineRule="auto"/>
              <w:ind w:right="31" w:rightChars="15"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我公司（企业</w:t>
            </w:r>
            <w:r>
              <w:rPr>
                <w:rFonts w:hint="eastAsia" w:ascii="宋体" w:hAnsi="宋体" w:eastAsia="宋体" w:cs="宋体"/>
                <w:color w:val="auto"/>
                <w:sz w:val="24"/>
                <w:highlight w:val="none"/>
              </w:rPr>
              <w:t>）认真阅读了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四川省达州市2025年国有林场管护用房建设项目</w:t>
            </w:r>
            <w:r>
              <w:rPr>
                <w:rFonts w:hint="eastAsia" w:ascii="宋体" w:hAnsi="宋体" w:eastAsia="宋体" w:cs="宋体"/>
                <w:color w:val="auto"/>
                <w:sz w:val="24"/>
                <w:highlight w:val="none"/>
                <w:lang w:eastAsia="zh-CN"/>
              </w:rPr>
              <w:t>初步设计》</w:t>
            </w:r>
            <w:r>
              <w:rPr>
                <w:rFonts w:hint="eastAsia" w:ascii="宋体" w:hAnsi="宋体" w:eastAsia="宋体" w:cs="宋体"/>
                <w:color w:val="auto"/>
                <w:sz w:val="24"/>
                <w:highlight w:val="none"/>
              </w:rPr>
              <w:t>竞</w:t>
            </w:r>
            <w:r>
              <w:rPr>
                <w:rFonts w:hint="eastAsia" w:ascii="宋体" w:hAnsi="宋体" w:eastAsia="宋体" w:cs="宋体"/>
                <w:color w:val="auto"/>
                <w:sz w:val="24"/>
                <w:highlight w:val="none"/>
              </w:rPr>
              <w:t>争性磋商文件的采购内容，并严格按竞争性磋商文件、修改补充文件中规定的要求以及技术参数，通过仔细核算，作出最终报价：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总合计（人民币 元）</w:t>
            </w:r>
          </w:p>
        </w:tc>
      </w:tr>
      <w:tr>
        <w:tblPrEx>
          <w:tblCellMar>
            <w:top w:w="15" w:type="dxa"/>
            <w:left w:w="15" w:type="dxa"/>
            <w:bottom w:w="15" w:type="dxa"/>
            <w:right w:w="15" w:type="dxa"/>
          </w:tblCellMar>
        </w:tblPrEx>
        <w:trPr>
          <w:trHeight w:val="256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ascii="宋体"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p>
          <w:p>
            <w:pPr>
              <w:pStyle w:val="3"/>
              <w:rPr>
                <w:rFonts w:hint="eastAsia" w:ascii="宋体" w:hAnsi="宋体" w:eastAsia="宋体" w:cs="宋体"/>
                <w:color w:val="auto"/>
                <w:lang w:eastAsia="zh-CN"/>
              </w:rPr>
            </w:pPr>
          </w:p>
          <w:p>
            <w:pPr>
              <w:pStyle w:val="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CellMar>
            <w:top w:w="15" w:type="dxa"/>
            <w:left w:w="15" w:type="dxa"/>
            <w:bottom w:w="15" w:type="dxa"/>
            <w:right w:w="15" w:type="dxa"/>
          </w:tblCellMar>
        </w:tblPrEx>
        <w:trPr>
          <w:trHeight w:val="90"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报价表必须填写完整；否则，视为无效响应报价。</w:t>
            </w:r>
          </w:p>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响应报价保留小数点后两位。</w:t>
            </w:r>
          </w:p>
        </w:tc>
      </w:tr>
      <w:tr>
        <w:tblPrEx>
          <w:tblCellMar>
            <w:top w:w="15" w:type="dxa"/>
            <w:left w:w="15" w:type="dxa"/>
            <w:bottom w:w="15" w:type="dxa"/>
            <w:right w:w="15" w:type="dxa"/>
          </w:tblCellMar>
        </w:tblPrEx>
        <w:trPr>
          <w:trHeight w:val="1689"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4"/>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28027"/>
      <w:bookmarkStart w:id="92" w:name="_Toc28106"/>
      <w:bookmarkStart w:id="93" w:name="_Toc28598"/>
      <w:bookmarkStart w:id="94" w:name="_Toc32172"/>
      <w:bookmarkStart w:id="95" w:name="_Toc1472"/>
      <w:bookmarkStart w:id="96" w:name="_Toc4539"/>
      <w:bookmarkStart w:id="97" w:name="_Toc28161"/>
      <w:bookmarkStart w:id="98" w:name="_Toc9096_WPSOffice_Level1"/>
      <w:bookmarkStart w:id="99" w:name="_Toc6426"/>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pPr>
        <w:numPr>
          <w:ilvl w:val="0"/>
          <w:numId w:val="3"/>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cstheme="minorEastAsia"/>
          <w:b/>
          <w:bCs w:val="0"/>
          <w:color w:val="auto"/>
          <w:sz w:val="24"/>
          <w:szCs w:val="24"/>
          <w:highlight w:val="none"/>
          <w:lang w:val="en-US" w:eastAsia="zh-CN"/>
        </w:rPr>
        <w:t>一</w:t>
      </w: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pPr>
        <w:spacing w:line="360" w:lineRule="auto"/>
        <w:ind w:firstLine="480" w:firstLineChars="200"/>
        <w:rPr>
          <w:rFonts w:hint="eastAsia" w:asciiTheme="minorEastAsia" w:hAnsiTheme="minorEastAsia" w:cstheme="minorEastAsia"/>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Theme="minorEastAsia" w:hAnsiTheme="minorEastAsia" w:cstheme="minorEastAsia"/>
          <w:color w:val="auto"/>
          <w:sz w:val="24"/>
          <w:highlight w:val="none"/>
          <w:lang w:eastAsia="zh-CN"/>
        </w:rPr>
        <w:t>。</w:t>
      </w:r>
    </w:p>
    <w:p>
      <w:pPr>
        <w:spacing w:beforeLines="100" w:line="360" w:lineRule="auto"/>
        <w:jc w:val="center"/>
        <w:outlineLvl w:val="0"/>
        <w:rPr>
          <w:b/>
          <w:color w:val="auto"/>
          <w:sz w:val="36"/>
          <w:szCs w:val="36"/>
          <w:highlight w:val="none"/>
        </w:rPr>
      </w:pPr>
      <w:r>
        <w:rPr>
          <w:rFonts w:hint="eastAsia"/>
          <w:b/>
          <w:color w:val="auto"/>
          <w:sz w:val="36"/>
          <w:szCs w:val="36"/>
          <w:highlight w:val="none"/>
        </w:rPr>
        <w:br w:type="page"/>
      </w:r>
      <w:bookmarkStart w:id="100" w:name="_Toc19426"/>
      <w:bookmarkStart w:id="101" w:name="_Toc1519"/>
      <w:bookmarkStart w:id="102" w:name="_Toc16188"/>
      <w:bookmarkStart w:id="103" w:name="_Toc26833_WPSOffice_Level1"/>
      <w:bookmarkStart w:id="104" w:name="_Toc12533"/>
      <w:bookmarkStart w:id="105" w:name="_Toc10480"/>
      <w:bookmarkStart w:id="106" w:name="_Toc12198"/>
      <w:bookmarkStart w:id="107" w:name="_Toc7553"/>
      <w:bookmarkStart w:id="108" w:name="_Toc1490"/>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pPr>
        <w:numPr>
          <w:ilvl w:val="0"/>
          <w:numId w:val="4"/>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39"/>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r>
        <w:rPr>
          <w:rFonts w:hint="eastAsia" w:ascii="宋体" w:hAnsi="宋体" w:eastAsia="宋体" w:cs="宋体"/>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具备健全的财务会计制度的证明材料。｛注：①可提供20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年度经审计的财务报告复印件（包含审计报告和审计报告中所涉及的财务报表和报表附注），②也可提供20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年度供应商的财务报表复印件（至少包含资产负债表），③也可提供距文件递交截止日一年内银行出具的资信证明（复印件），④</w:t>
      </w:r>
      <w:r>
        <w:rPr>
          <w:rFonts w:hint="eastAsia" w:ascii="宋体" w:hAnsi="宋体" w:eastAsia="宋体" w:cs="宋体"/>
          <w:color w:val="auto"/>
          <w:sz w:val="24"/>
          <w:highlight w:val="none"/>
          <w:lang w:val="en-US" w:eastAsia="zh-CN"/>
        </w:rPr>
        <w:t>供应商注册时间截至响应文件递交截止日不足一年的，也可提供工商备案的公司章程复印件</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⑤也可提供承诺函</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提供具有良好商业信誉的证明材料（提供承诺）；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具有履行合同</w:t>
      </w:r>
      <w:r>
        <w:rPr>
          <w:rFonts w:hint="eastAsia" w:ascii="宋体" w:hAnsi="宋体" w:eastAsia="宋体" w:cs="宋体"/>
          <w:color w:val="auto"/>
          <w:sz w:val="24"/>
          <w:highlight w:val="none"/>
          <w:lang w:eastAsia="zh-CN"/>
        </w:rPr>
        <w:t>所必需的</w:t>
      </w:r>
      <w:r>
        <w:rPr>
          <w:rFonts w:hint="eastAsia" w:ascii="宋体" w:hAnsi="宋体" w:eastAsia="宋体" w:cs="宋体"/>
          <w:color w:val="auto"/>
          <w:sz w:val="24"/>
          <w:highlight w:val="none"/>
        </w:rPr>
        <w:t>设备和专业技术能力的证明材料（提供承诺）；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具有依法缴纳税收和社会保障资金的良好记录的证明材料（提供承诺）；</w:t>
      </w:r>
    </w:p>
    <w:p>
      <w:pPr>
        <w:tabs>
          <w:tab w:val="left" w:pos="76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参加本次政府采购活动前三年内，在经营活动中没有重大违法违规记录的证明材料（提供承诺）</w:t>
      </w:r>
      <w:r>
        <w:rPr>
          <w:rFonts w:hint="eastAsia" w:ascii="宋体" w:hAnsi="宋体" w:eastAsia="宋体" w:cs="宋体"/>
          <w:color w:val="auto"/>
          <w:sz w:val="24"/>
          <w:highlight w:val="none"/>
          <w:lang w:eastAsia="zh-CN"/>
        </w:rPr>
        <w:t>。</w:t>
      </w:r>
    </w:p>
    <w:p>
      <w:pPr>
        <w:spacing w:line="360" w:lineRule="auto"/>
        <w:rPr>
          <w:rFonts w:hint="eastAsia" w:hAnsi="宋体"/>
          <w:b/>
          <w:bCs w:val="0"/>
          <w:color w:val="auto"/>
          <w:sz w:val="24"/>
          <w:highlight w:val="none"/>
          <w:lang w:eastAsia="zh-CN"/>
        </w:rPr>
      </w:pPr>
      <w:r>
        <w:rPr>
          <w:rFonts w:hint="eastAsia" w:hAnsi="宋体"/>
          <w:b/>
          <w:bCs w:val="0"/>
          <w:color w:val="auto"/>
          <w:sz w:val="24"/>
          <w:highlight w:val="none"/>
        </w:rPr>
        <w:t>（二）资质性要求相关证明材料：</w:t>
      </w:r>
      <w:r>
        <w:rPr>
          <w:rFonts w:hint="eastAsia" w:hAnsi="宋体"/>
          <w:b/>
          <w:bCs w:val="0"/>
          <w:color w:val="auto"/>
          <w:sz w:val="24"/>
          <w:highlight w:val="none"/>
          <w:lang w:val="en-US" w:eastAsia="zh-CN"/>
        </w:rPr>
        <w:t>无。</w:t>
      </w:r>
    </w:p>
    <w:p>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p>
    <w:p>
      <w:pPr>
        <w:tabs>
          <w:tab w:val="left" w:pos="7665"/>
        </w:tabs>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1.法定代表人及单位负责人身份证明材料复印件；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提供法定代表人/单位负责人授权书原件及代理人身份证明材料复印件（注：①法定代表人/单位负责人授权书</w:t>
      </w:r>
      <w:r>
        <w:rPr>
          <w:rFonts w:hint="eastAsia" w:ascii="宋体" w:hAnsi="宋体" w:eastAsia="宋体" w:cs="宋体"/>
          <w:color w:val="auto"/>
          <w:sz w:val="24"/>
          <w:highlight w:val="none"/>
        </w:rPr>
        <w:t>原件需加盖公章；②如响应文件均由供应商法定代表人/单位负责人签字的且法定代表人/单位负责人本人参与磋商的，则</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rPr>
        <w:t>法定代表人/单位负责人</w:t>
      </w:r>
      <w:r>
        <w:rPr>
          <w:rFonts w:hint="eastAsia" w:ascii="宋体" w:hAnsi="宋体" w:eastAsia="宋体" w:cs="宋体"/>
          <w:color w:val="auto"/>
          <w:sz w:val="24"/>
          <w:highlight w:val="none"/>
          <w:lang w:eastAsia="zh-CN"/>
        </w:rPr>
        <w:t>身份证明</w:t>
      </w:r>
      <w:r>
        <w:rPr>
          <w:rFonts w:hint="eastAsia" w:ascii="宋体" w:hAnsi="宋体" w:eastAsia="宋体" w:cs="宋体"/>
          <w:color w:val="auto"/>
          <w:sz w:val="24"/>
          <w:highlight w:val="none"/>
        </w:rPr>
        <w:t>）。</w:t>
      </w:r>
      <w:bookmarkStart w:id="186" w:name="_GoBack"/>
      <w:bookmarkEnd w:id="186"/>
    </w:p>
    <w:p>
      <w:pPr>
        <w:pStyle w:val="3"/>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注：以上要求的资料复印件（身份证明材料除外）均须加盖磋商单位公章（鲜章）。</w:t>
      </w:r>
    </w:p>
    <w:p>
      <w:pPr>
        <w:pStyle w:val="4"/>
        <w:pageBreakBefore/>
        <w:numPr>
          <w:ilvl w:val="0"/>
          <w:numId w:val="5"/>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18271"/>
      <w:bookmarkStart w:id="110" w:name="_Toc21158"/>
      <w:r>
        <w:rPr>
          <w:rFonts w:hint="eastAsia"/>
          <w:bCs w:val="0"/>
          <w:color w:val="auto"/>
          <w:kern w:val="2"/>
          <w:sz w:val="36"/>
          <w:szCs w:val="36"/>
          <w:highlight w:val="none"/>
        </w:rPr>
        <w:t xml:space="preserve">  </w:t>
      </w:r>
      <w:bookmarkEnd w:id="109"/>
      <w:bookmarkEnd w:id="110"/>
      <w:bookmarkStart w:id="111" w:name="_Toc22950"/>
      <w:bookmarkStart w:id="112" w:name="_Toc471287978"/>
      <w:bookmarkStart w:id="113" w:name="_Toc27306_WPSOffice_Level1"/>
      <w:bookmarkStart w:id="114" w:name="_Toc13815"/>
      <w:r>
        <w:rPr>
          <w:rFonts w:hint="eastAsia"/>
          <w:bCs w:val="0"/>
          <w:color w:val="auto"/>
          <w:kern w:val="2"/>
          <w:sz w:val="36"/>
          <w:szCs w:val="36"/>
          <w:highlight w:val="none"/>
        </w:rPr>
        <w:t>磋商项目及要求</w:t>
      </w:r>
      <w:bookmarkEnd w:id="111"/>
      <w:bookmarkEnd w:id="112"/>
      <w:bookmarkEnd w:id="113"/>
      <w:bookmarkEnd w:id="114"/>
    </w:p>
    <w:p>
      <w:pPr>
        <w:spacing w:line="560" w:lineRule="exact"/>
        <w:ind w:firstLine="562" w:firstLineChars="200"/>
        <w:jc w:val="left"/>
        <w:rPr>
          <w:rFonts w:hint="eastAsia" w:ascii="宋体" w:hAnsi="宋体" w:eastAsia="宋体" w:cs="宋体"/>
          <w:b/>
          <w:bCs/>
          <w:color w:val="auto"/>
          <w:sz w:val="28"/>
          <w:szCs w:val="28"/>
          <w:highlight w:val="none"/>
          <w:lang w:eastAsia="zh-CN"/>
        </w:rPr>
      </w:pPr>
      <w:bookmarkStart w:id="115" w:name="_Toc10285"/>
      <w:bookmarkStart w:id="116" w:name="_Toc6383_WPSOffice_Level1"/>
      <w:r>
        <w:rPr>
          <w:rFonts w:hint="eastAsia" w:ascii="宋体" w:hAnsi="宋体" w:eastAsia="宋体" w:cs="宋体"/>
          <w:b/>
          <w:bCs/>
          <w:color w:val="auto"/>
          <w:sz w:val="28"/>
          <w:szCs w:val="28"/>
          <w:highlight w:val="none"/>
          <w:lang w:eastAsia="zh-CN"/>
        </w:rPr>
        <w:t>一、项目概况</w:t>
      </w:r>
    </w:p>
    <w:p>
      <w:pPr>
        <w:spacing w:line="560" w:lineRule="exact"/>
        <w:ind w:firstLine="480" w:firstLineChars="200"/>
        <w:jc w:val="left"/>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本项目共一个包，</w:t>
      </w:r>
      <w:r>
        <w:rPr>
          <w:rFonts w:hint="eastAsia" w:ascii="宋体" w:hAnsi="宋体" w:eastAsia="宋体" w:cs="宋体"/>
          <w:b w:val="0"/>
          <w:color w:val="auto"/>
          <w:sz w:val="24"/>
          <w:highlight w:val="none"/>
          <w:lang w:val="en-US" w:eastAsia="zh-CN"/>
        </w:rPr>
        <w:t>为四川省达州市2025年国有林场管护用房建设项目初步设计。</w:t>
      </w:r>
    </w:p>
    <w:p>
      <w:pPr>
        <w:spacing w:line="36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en-US" w:eastAsia="zh-CN"/>
        </w:rPr>
        <w:t>服务内容及要求</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本项目已</w:t>
      </w:r>
      <w:r>
        <w:rPr>
          <w:rFonts w:hint="default" w:ascii="宋体" w:hAnsi="宋体" w:eastAsia="宋体" w:cs="宋体"/>
          <w:b w:val="0"/>
          <w:color w:val="auto"/>
          <w:sz w:val="24"/>
          <w:highlight w:val="none"/>
          <w:lang w:val="en-US" w:eastAsia="zh-CN"/>
        </w:rPr>
        <w:t>通过</w:t>
      </w:r>
      <w:r>
        <w:rPr>
          <w:rFonts w:hint="eastAsia" w:ascii="宋体" w:hAnsi="宋体" w:eastAsia="宋体" w:cs="宋体"/>
          <w:b w:val="0"/>
          <w:color w:val="auto"/>
          <w:sz w:val="24"/>
          <w:highlight w:val="none"/>
          <w:lang w:val="en-US" w:eastAsia="zh-CN"/>
        </w:rPr>
        <w:t>达州</w:t>
      </w:r>
      <w:r>
        <w:rPr>
          <w:rFonts w:hint="default" w:ascii="宋体" w:hAnsi="宋体" w:eastAsia="宋体" w:cs="宋体"/>
          <w:b w:val="0"/>
          <w:color w:val="auto"/>
          <w:sz w:val="24"/>
          <w:highlight w:val="none"/>
          <w:lang w:val="en-US" w:eastAsia="zh-CN"/>
        </w:rPr>
        <w:t>市发改委批复</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项目建设内容为</w:t>
      </w:r>
      <w:r>
        <w:rPr>
          <w:rFonts w:hint="eastAsia" w:ascii="宋体" w:hAnsi="宋体" w:eastAsia="宋体" w:cs="宋体"/>
          <w:b w:val="0"/>
          <w:color w:val="auto"/>
          <w:sz w:val="24"/>
          <w:highlight w:val="none"/>
          <w:lang w:val="en-US" w:eastAsia="zh-CN"/>
        </w:rPr>
        <w:t>在</w:t>
      </w:r>
      <w:r>
        <w:rPr>
          <w:rFonts w:hint="default" w:ascii="宋体" w:hAnsi="宋体" w:eastAsia="宋体" w:cs="宋体"/>
          <w:b w:val="0"/>
          <w:color w:val="auto"/>
          <w:sz w:val="24"/>
          <w:highlight w:val="none"/>
          <w:lang w:val="en-US" w:eastAsia="zh-CN"/>
        </w:rPr>
        <w:t>达州市达川区、大竹县、开江县、宣汉县、万源市五个区（县）</w:t>
      </w:r>
      <w:r>
        <w:rPr>
          <w:rFonts w:hint="eastAsia" w:ascii="宋体" w:hAnsi="宋体" w:eastAsia="宋体" w:cs="宋体"/>
          <w:b w:val="0"/>
          <w:color w:val="auto"/>
          <w:sz w:val="24"/>
          <w:highlight w:val="none"/>
          <w:lang w:val="en-US" w:eastAsia="zh-CN"/>
        </w:rPr>
        <w:t>实施</w:t>
      </w:r>
      <w:r>
        <w:rPr>
          <w:rFonts w:hint="default" w:ascii="宋体" w:hAnsi="宋体" w:eastAsia="宋体" w:cs="宋体"/>
          <w:b w:val="0"/>
          <w:color w:val="auto"/>
          <w:sz w:val="24"/>
          <w:highlight w:val="none"/>
          <w:lang w:val="en-US" w:eastAsia="zh-CN"/>
        </w:rPr>
        <w:t>国有林场管护用房的重建改造管护用房17处，功能完善23处，并已下达中央预算内投资</w:t>
      </w:r>
      <w:r>
        <w:rPr>
          <w:rFonts w:hint="eastAsia" w:ascii="宋体" w:hAnsi="宋体" w:eastAsia="宋体" w:cs="宋体"/>
          <w:b w:val="0"/>
          <w:color w:val="auto"/>
          <w:sz w:val="24"/>
          <w:highlight w:val="none"/>
          <w:lang w:val="en-US" w:eastAsia="zh-CN"/>
        </w:rPr>
        <w:t>825</w:t>
      </w:r>
      <w:r>
        <w:rPr>
          <w:rFonts w:hint="default" w:ascii="宋体" w:hAnsi="宋体" w:eastAsia="宋体" w:cs="宋体"/>
          <w:b w:val="0"/>
          <w:color w:val="auto"/>
          <w:sz w:val="24"/>
          <w:highlight w:val="none"/>
          <w:lang w:val="en-US" w:eastAsia="zh-CN"/>
        </w:rPr>
        <w:t>万元，地方配套2</w:t>
      </w:r>
      <w:r>
        <w:rPr>
          <w:rFonts w:hint="eastAsia" w:ascii="宋体" w:hAnsi="宋体" w:eastAsia="宋体" w:cs="宋体"/>
          <w:b w:val="0"/>
          <w:color w:val="auto"/>
          <w:sz w:val="24"/>
          <w:highlight w:val="none"/>
          <w:lang w:val="en-US" w:eastAsia="zh-CN"/>
        </w:rPr>
        <w:t>00</w:t>
      </w:r>
      <w:r>
        <w:rPr>
          <w:rFonts w:hint="default" w:ascii="宋体" w:hAnsi="宋体" w:eastAsia="宋体" w:cs="宋体"/>
          <w:b w:val="0"/>
          <w:color w:val="auto"/>
          <w:sz w:val="24"/>
          <w:highlight w:val="none"/>
          <w:lang w:val="en-US" w:eastAsia="zh-CN"/>
        </w:rPr>
        <w:t>万元。按照《四川省林业和草原调查规划设计项目收费指导价标准》（川林会〔2020〕11号）</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《关于进一步优化市级政府性投资项目财政管理的通知(试行)》(达市财政〔2019〕</w:t>
      </w:r>
      <w:r>
        <w:rPr>
          <w:rFonts w:hint="eastAsia" w:ascii="宋体" w:hAnsi="宋体" w:eastAsia="宋体" w:cs="宋体"/>
          <w:b w:val="0"/>
          <w:color w:val="auto"/>
          <w:sz w:val="24"/>
          <w:highlight w:val="none"/>
          <w:lang w:val="en-US" w:eastAsia="zh-CN"/>
        </w:rPr>
        <w:t>要求，为进一步提升达州市国有林场森林资源管理能力，改善林场职工工作环境条件，确保国有林场森林资源的安全，科学编制达州市2025年国有林场管护用房建设项目初步设计。</w:t>
      </w:r>
      <w:r>
        <w:rPr>
          <w:rFonts w:hint="eastAsia" w:hAnsi="宋体" w:cs="宋体"/>
          <w:b w:val="0"/>
          <w:color w:val="auto"/>
          <w:sz w:val="24"/>
          <w:highlight w:val="none"/>
          <w:lang w:val="en-US" w:eastAsia="zh-CN"/>
        </w:rPr>
        <w:t>成果要求根据采购人实际</w:t>
      </w:r>
      <w:r>
        <w:rPr>
          <w:rFonts w:hint="eastAsia" w:ascii="宋体" w:hAnsi="宋体" w:eastAsia="宋体" w:cs="宋体"/>
          <w:b w:val="0"/>
          <w:color w:val="auto"/>
          <w:sz w:val="24"/>
          <w:highlight w:val="none"/>
          <w:lang w:val="en-US" w:eastAsia="zh-CN"/>
        </w:rPr>
        <w:t>情况提供。</w:t>
      </w:r>
    </w:p>
    <w:p>
      <w:pPr>
        <w:keepNext w:val="0"/>
        <w:keepLines w:val="0"/>
        <w:pageBreakBefore w:val="0"/>
        <w:widowControl w:val="0"/>
        <w:kinsoku/>
        <w:wordWrap/>
        <w:overflowPunct/>
        <w:topLinePunct w:val="0"/>
        <w:bidi w:val="0"/>
        <w:snapToGrid w:val="0"/>
        <w:spacing w:line="360" w:lineRule="auto"/>
        <w:ind w:firstLine="56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商务要求（</w:t>
      </w:r>
      <w:r>
        <w:rPr>
          <w:rFonts w:hint="eastAsia" w:ascii="宋体" w:hAnsi="宋体" w:eastAsia="宋体" w:cs="宋体"/>
          <w:b/>
          <w:color w:val="auto"/>
          <w:sz w:val="28"/>
          <w:szCs w:val="28"/>
          <w:lang w:eastAsia="zh-CN"/>
        </w:rPr>
        <w:t>实质性要求</w:t>
      </w:r>
      <w:r>
        <w:rPr>
          <w:rFonts w:hint="eastAsia" w:ascii="宋体" w:hAnsi="宋体" w:eastAsia="宋体" w:cs="宋体"/>
          <w:color w:val="auto"/>
          <w:sz w:val="28"/>
          <w:szCs w:val="28"/>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（一）服务期限</w:t>
      </w:r>
      <w:r>
        <w:rPr>
          <w:rFonts w:hint="eastAsia" w:ascii="宋体" w:hAnsi="宋体" w:cs="宋体"/>
          <w:color w:val="auto"/>
          <w:sz w:val="24"/>
        </w:rPr>
        <w:t>：自签订合同之日起</w:t>
      </w:r>
      <w:r>
        <w:rPr>
          <w:rFonts w:hint="default" w:ascii="宋体" w:hAnsi="宋体" w:cs="宋体"/>
          <w:color w:val="auto"/>
          <w:sz w:val="24"/>
        </w:rPr>
        <w:t>1</w:t>
      </w:r>
      <w:r>
        <w:rPr>
          <w:rFonts w:hint="eastAsia" w:ascii="宋体" w:hAnsi="宋体" w:cs="宋体"/>
          <w:color w:val="auto"/>
          <w:sz w:val="24"/>
        </w:rPr>
        <w:t>个月</w:t>
      </w:r>
      <w:r>
        <w:rPr>
          <w:rFonts w:hint="eastAsia" w:ascii="宋体" w:hAnsi="宋体" w:cs="宋体"/>
          <w:color w:val="auto"/>
          <w:sz w:val="24"/>
          <w:lang w:val="en-US" w:eastAsia="zh-CN"/>
        </w:rPr>
        <w:t>内完成项目内容</w:t>
      </w:r>
      <w:r>
        <w:rPr>
          <w:rFonts w:hint="eastAsia" w:ascii="宋体" w:hAnsi="宋体" w:cs="宋体"/>
          <w:color w:val="auto"/>
          <w:sz w:val="24"/>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（二）服务地点</w:t>
      </w:r>
      <w:r>
        <w:rPr>
          <w:rFonts w:hint="eastAsia" w:ascii="宋体" w:hAnsi="宋体" w:cs="宋体"/>
          <w:color w:val="auto"/>
          <w:sz w:val="24"/>
        </w:rPr>
        <w:t>：</w:t>
      </w:r>
      <w:r>
        <w:rPr>
          <w:rFonts w:hint="eastAsia" w:ascii="宋体" w:hAnsi="宋体" w:cs="宋体"/>
          <w:color w:val="auto"/>
          <w:sz w:val="24"/>
          <w:lang w:val="en-US" w:eastAsia="zh-CN"/>
        </w:rPr>
        <w:t>达州市</w:t>
      </w:r>
      <w:r>
        <w:rPr>
          <w:rFonts w:hint="eastAsia" w:ascii="宋体" w:hAnsi="宋体" w:cs="宋体"/>
          <w:color w:val="auto"/>
          <w:sz w:val="24"/>
        </w:rPr>
        <w:t>（采购人指定的地点）。</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（三）质量要求</w:t>
      </w:r>
      <w:r>
        <w:rPr>
          <w:rFonts w:hint="eastAsia" w:ascii="宋体" w:hAnsi="宋体" w:cs="宋体"/>
          <w:color w:val="auto"/>
          <w:sz w:val="24"/>
        </w:rPr>
        <w:t>：符合国家及行业相关标准，符合验收标准。</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（四）付款方式</w:t>
      </w:r>
      <w:r>
        <w:rPr>
          <w:rFonts w:hint="eastAsia" w:ascii="宋体" w:hAnsi="宋体" w:cs="宋体"/>
          <w:color w:val="auto"/>
          <w:sz w:val="24"/>
        </w:rPr>
        <w:t>：</w:t>
      </w:r>
      <w:r>
        <w:rPr>
          <w:rFonts w:hint="eastAsia" w:ascii="宋体" w:hAnsi="宋体" w:eastAsia="宋体" w:cs="宋体"/>
          <w:b w:val="0"/>
          <w:color w:val="auto"/>
          <w:sz w:val="24"/>
          <w:highlight w:val="none"/>
          <w:lang w:val="en-US" w:eastAsia="zh-CN"/>
        </w:rPr>
        <w:t>合同签订后支付合同金额的20%，完成项目内容后支付合同金额的80%。</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（五）验收要求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验收标准及方式：严格按照《财政部关于进一步加强政府采购需求和履约验收管理的指导意见》（财库〔2016〕205号）的要求组织验收。验收应以采购合同、采购及其补充文件、国家或行业相关标准为验收的主要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（2）验收主体：采购人。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（3）验收时间：以供应商提出验收申请之日起30日内组织验收。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程序和内容：商务条款和技术条款均逐条验收；如出现未在采购文件中明确规定的，以行业相关标准为准。如采购双方如对质量要求和服务内容的约定标准有相互抵触或异议的事项，由采购人在采购文件与成交人响应文件中按质量要求和服务内容、行业标准比较优胜的原则确定该项的约定标准进行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（5）验收相关事宜及法律责任：如出现成交人提供虚假材料谋取中标或达不到</w:t>
      </w:r>
      <w:r>
        <w:rPr>
          <w:rFonts w:hint="eastAsia" w:ascii="宋体" w:hAnsi="宋体" w:cs="宋体"/>
          <w:color w:val="auto"/>
          <w:sz w:val="24"/>
          <w:lang w:val="en-US" w:eastAsia="zh-CN"/>
        </w:rPr>
        <w:t>采购</w:t>
      </w:r>
      <w:r>
        <w:rPr>
          <w:rFonts w:hint="eastAsia" w:ascii="宋体" w:hAnsi="宋体" w:cs="宋体"/>
          <w:color w:val="auto"/>
          <w:sz w:val="24"/>
        </w:rPr>
        <w:t>要求的，采购人有权拒绝验收，并按《中华人民共和国民法典》追究其相关法律责任。</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（六）报价要求</w:t>
      </w:r>
      <w:r>
        <w:rPr>
          <w:rFonts w:hint="eastAsia" w:ascii="宋体" w:hAnsi="宋体" w:cs="宋体"/>
          <w:color w:val="auto"/>
          <w:sz w:val="24"/>
        </w:rPr>
        <w:t>：本项目所报价格包含人工费、各类保险费、加班费、交通费、税费、材料及完成本项目所需的所有费用，采购人不再另行支付其他费用。</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（七）违约责任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1.采购人及供应商双方必须遵守采购合同并执行合同中的各项规定，保证采购合同的正常履行。任何一方违约给对方造成的直接损失均负有赔偿责任，对方均有权视情况要求对方继续履行合同或提出解除合同。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3.如供应商提交的成果达不到相关质量要求或未按采购人时间进度安排完成成果，采购人有权扣除合同支付金额和提出解除合同。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（八）争议解决办法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1.采购人及供应商双方就采购合同所产生的任何争议都应该进行友好协商，协商解决不成的，任何一方均可向项目所在地仲裁委员会申请仲裁。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2.仲裁费应由败诉方承担。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3.在仲裁期间，除正在进行仲裁的部分外，合同其他部分继续执行。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（九）其他相关事宜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1.在本采购文件中没有提及的与本项目履约切实相关的事宜，在采购人与成交供应商订立合同时按明细约定或后续补充约定（约定的内容须符合国家相关法律法规的规定）。</w:t>
      </w:r>
    </w:p>
    <w:p>
      <w:pPr>
        <w:pageBreakBefore w:val="0"/>
        <w:kinsoku/>
        <w:wordWrap/>
        <w:overflowPunct/>
        <w:topLinePunct w:val="0"/>
        <w:autoSpaceDE/>
        <w:autoSpaceDN/>
        <w:bidi w:val="0"/>
        <w:adjustRightInd/>
        <w:snapToGrid/>
        <w:spacing w:line="360" w:lineRule="auto"/>
        <w:ind w:right="240" w:firstLine="480" w:firstLineChars="200"/>
        <w:jc w:val="left"/>
        <w:textAlignment w:val="auto"/>
        <w:rPr>
          <w:rFonts w:hint="eastAsia"/>
          <w:color w:val="auto"/>
          <w:sz w:val="24"/>
          <w:szCs w:val="24"/>
          <w:highlight w:val="none"/>
          <w:lang w:eastAsia="zh-CN"/>
        </w:rPr>
      </w:pPr>
      <w:r>
        <w:rPr>
          <w:rFonts w:hint="eastAsia" w:ascii="宋体" w:hAnsi="宋体" w:cs="宋体"/>
          <w:color w:val="auto"/>
          <w:sz w:val="24"/>
        </w:rPr>
        <w:t>2.本项目自成交方签订合同之日起至提交全部成果验收合格之日止，成交方将负责该项目实施过程中的人身安全、财产安全、环境安全，因本项目实施过程中造成的相应直接或间接损失，由供应商自行承担</w:t>
      </w:r>
      <w:r>
        <w:rPr>
          <w:rFonts w:hint="eastAsia" w:ascii="宋体" w:hAnsi="宋体" w:eastAsia="宋体" w:cs="宋体"/>
          <w:color w:val="auto"/>
          <w:sz w:val="24"/>
        </w:rPr>
        <w:t>。</w:t>
      </w:r>
    </w:p>
    <w:p>
      <w:pPr>
        <w:pStyle w:val="4"/>
        <w:pageBreakBefore/>
        <w:numPr>
          <w:ilvl w:val="0"/>
          <w:numId w:val="0"/>
        </w:numPr>
        <w:spacing w:beforeLines="50" w:line="360" w:lineRule="auto"/>
        <w:jc w:val="center"/>
        <w:rPr>
          <w:rFonts w:hAnsi="宋体"/>
          <w:color w:val="auto"/>
          <w:sz w:val="36"/>
          <w:szCs w:val="36"/>
          <w:highlight w:val="none"/>
        </w:rPr>
      </w:pPr>
      <w:bookmarkStart w:id="117" w:name="_Toc11880"/>
      <w:r>
        <w:rPr>
          <w:rFonts w:hint="eastAsia" w:hAnsi="宋体"/>
          <w:color w:val="auto"/>
          <w:sz w:val="36"/>
          <w:szCs w:val="36"/>
          <w:highlight w:val="none"/>
        </w:rPr>
        <w:t xml:space="preserve">第七章  </w:t>
      </w:r>
      <w:bookmarkStart w:id="118" w:name="_Toc6249"/>
      <w:bookmarkStart w:id="119" w:name="_Toc14231"/>
      <w:bookmarkStart w:id="120" w:name="_Toc29830"/>
      <w:bookmarkStart w:id="121" w:name="_Toc27004"/>
      <w:bookmarkStart w:id="122" w:name="_Toc27426"/>
      <w:r>
        <w:rPr>
          <w:rFonts w:hint="eastAsia" w:hAnsi="宋体"/>
          <w:color w:val="auto"/>
          <w:sz w:val="36"/>
          <w:szCs w:val="36"/>
          <w:highlight w:val="none"/>
        </w:rPr>
        <w:t>评审办法</w:t>
      </w:r>
      <w:bookmarkEnd w:id="115"/>
      <w:bookmarkEnd w:id="116"/>
      <w:bookmarkEnd w:id="117"/>
      <w:bookmarkEnd w:id="118"/>
      <w:bookmarkEnd w:id="119"/>
      <w:bookmarkEnd w:id="120"/>
      <w:bookmarkEnd w:id="121"/>
      <w:bookmarkEnd w:id="122"/>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bookmarkStart w:id="123" w:name="_Toc8574"/>
      <w:bookmarkStart w:id="124" w:name="_Toc3265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政府采购竞争性磋商采购方式管理暂行办法》等法律制度，结合本采购项目特点制定本磋商方法。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磋商工作由采购人负责组织，具体磋商由采购人依法组建的磋商小组负责。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磋商工作应遵循公平、公正、科学及择优的原则，并以相同的磋商程序和标准对待所有的供应商。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（一）熟悉和理解磋商文件，确定磋商文件内容是否违反国家有关强制性规定或者磋商文件存在歧义、重大缺陷，根据需要书面要求采购人对磋商文件作出解释；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（二）审查供应商响应文件是否满足磋商文件要求，并作出公正评价；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（四）推荐成交供应商，或者受采购人委托确定成交供应商；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（五）起草评审报告并进行签署；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（六）向采购人财政部门或者其他监督部门报告非法干预评审工作的行为；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（七）法律、法规和规章规定的其他职责。</w:t>
      </w:r>
    </w:p>
    <w:p>
      <w:pPr>
        <w:spacing w:line="360" w:lineRule="auto"/>
        <w:ind w:firstLine="481"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1.5 （实质性要求）</w:t>
      </w:r>
      <w:r>
        <w:rPr>
          <w:rFonts w:hint="eastAsia" w:ascii="宋体" w:hAnsi="宋体" w:eastAsia="宋体" w:cs="宋体"/>
          <w:color w:val="auto"/>
          <w:sz w:val="24"/>
          <w:highlight w:val="none"/>
        </w:rPr>
        <w:t>磋商过程独立、保密。供应商非法干预磋商过程的，其响应文件作无效处理。</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2.1审查磋商文件和停止评审。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 本磋商文件有下列情形之一的，磋商小组应当停止评审：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（1）磋商文件的规定存在歧义、重大缺陷的；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（2）磋商文件明显以不合理条件对供应商实行差别待遇或者歧视待遇的；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（3）采购项目属于国家规定的优先、强制采购范围，但是磋商文件未依法体现优先、强制采购相关规定的；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（4）采购项目属于政府采购促进中小企业发展的范围，但是磋商文件未依法体现促进中小企业发展相关规定的；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（5）磋商文件将供应商的资格条件列为评分因素的；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（6）磋商文件载明的成交原则不合法的；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（7）磋商文件有违反国家其他有关强制性规定的情形。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资格性审查。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采购人宣布未通过资格性审查的供应商名单时，应当告知供应商未通过审查的原因。</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通过资格性审查的供应商不足</w:t>
      </w:r>
      <w:r>
        <w:rPr>
          <w:rFonts w:hint="eastAsia" w:ascii="宋体" w:hAnsi="宋体" w:eastAsia="宋体" w:cs="宋体"/>
          <w:b/>
          <w:bCs/>
          <w:color w:val="auto"/>
          <w:sz w:val="24"/>
          <w:szCs w:val="24"/>
          <w:highlight w:val="none"/>
          <w:lang w:val="en-US" w:eastAsia="zh-CN"/>
        </w:rPr>
        <w:t>3家</w:t>
      </w:r>
      <w:r>
        <w:rPr>
          <w:rFonts w:hint="eastAsia" w:ascii="宋体" w:hAnsi="宋体" w:eastAsia="宋体" w:cs="宋体"/>
          <w:b/>
          <w:bCs/>
          <w:color w:val="auto"/>
          <w:sz w:val="24"/>
          <w:szCs w:val="24"/>
          <w:highlight w:val="none"/>
        </w:rPr>
        <w:t>的，终止本次采购活动，并发布终止采购活动公告。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应当遵照相关要求进行评审。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2.4磋商。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（1）响应文件组成明显不符合采购文件的规定要求，影响</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）响应文件的语言、计量单位、知识产权、响应有效期等不符合采购文件的规定，影响磋商小组评判的；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）经最终磋商后，供应商的响应文件仍不能完全响应采购文件的实质性要求的；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）属于竞争性磋商文件中无效响应情形的。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磋商小组对所有响应文件的有效性、完整性和响应程度进行审查后，向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出具有效性、完整性和响应程度审查报告。没有通过有效性、完整性和响应程度审查的供应商，磋商小组应在有效性、完整性和响应程度审查报告中说明原因。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2.5.3符合</w:t>
      </w:r>
      <w:bookmarkStart w:id="125" w:name="_Toc30986"/>
      <w:r>
        <w:rPr>
          <w:rFonts w:hint="eastAsia" w:ascii="宋体" w:hAnsi="宋体" w:eastAsia="宋体" w:cs="宋体"/>
          <w:color w:val="auto"/>
          <w:sz w:val="24"/>
          <w:szCs w:val="24"/>
          <w:highlight w:val="none"/>
          <w:lang w:val="zh-CN"/>
        </w:rPr>
        <w:t>《政府采购竞争性磋商采购方式管理暂行办法财库》〔2014〕214号</w:t>
      </w:r>
      <w:bookmarkEnd w:id="125"/>
      <w:r>
        <w:rPr>
          <w:rFonts w:hint="eastAsia" w:ascii="宋体" w:hAnsi="宋体" w:eastAsia="宋体" w:cs="宋体"/>
          <w:color w:val="auto"/>
          <w:sz w:val="24"/>
          <w:szCs w:val="24"/>
          <w:highlight w:val="none"/>
          <w:lang w:val="zh-CN"/>
        </w:rPr>
        <w:t>第三条第四项情形的，提交最后报价的供应商可以为2家。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询函的解释未被磋商小组采信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2.5.6报价如果出现下列不一致的，可按以下原则进行修改：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（三）单价金额小数点或者百分比有明显错位的，以总价为准，修正单价。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少数民族地区的供应商推荐顺序在非少数民族地区的供应商之前；评审得分且最后报价且技术指标分项得分均相同的，且均为少数民族地区的供应商并列；评审得分且最后报价且技术指标分项得分均相同的，且不能判定为少数民族地区的供应商并列。</w:t>
      </w:r>
      <w:r>
        <w:rPr>
          <w:rFonts w:hint="eastAsia" w:ascii="宋体" w:hAnsi="宋体" w:eastAsia="宋体" w:cs="宋体"/>
          <w:b/>
          <w:bCs/>
          <w:color w:val="auto"/>
          <w:sz w:val="24"/>
          <w:szCs w:val="24"/>
          <w:highlight w:val="none"/>
          <w:lang w:val="zh-CN"/>
        </w:rPr>
        <w:t>（少数民族地区的供应商需提供属于少数民族地区企业的相关证明材料，或供应商注册地为少数民族地区。）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2.9采购组织单位现场复核评审结果。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2.9.1评审结果汇总完成后，磋商小组拟出具磋商评审报告前，</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应当组织2名以上的本单位工作人员，在采购现场监督人员的监督之下，依据有关的法律制度和磋商文件对评审结果进行复核，出具复核报告，存在下列情形之一的，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应当根据情况书面建议磋商小组现场修改评审结果：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（1）资格性审查认定错误的；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（2）分值汇总计算错误的；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（3）分项评分超出评分标准范围的；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（4）客观评分不一致的。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存在本条上述情形的，由磋商小组自主决定是否采纳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的书面建议，并承担独立评审责任。磋商小组采纳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书面建议的，应当按照规定现场修改评审结果或者重新评审，并在磋商报告中详细记载有关事宜；不采纳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书面建议的，应当书面说明理由。</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书面建议未被磋商小组采纳的，应当按照规定程序要求继续组织实施采购活动，不得擅自中止采购活动。</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认为磋商小组评审结果不合法的，应当书面报告采购项目同级财政部门。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复核过程中，磋商小组成员不得离开评审现场。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2.9.2有下列情形之一的，不得现场修改评审结果：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（1）磋商小组已经出具磋商报告并且离开评审现场的；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现场复核时，复核工作人员数量不足的；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现场复核时，没有采购监督人员现场监督的；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现场复核内容超出规定范围的；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未提供书面建议的。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2.10编写磋商报告。磋商小组推荐成交候选供应商后，应向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出具磋商报告。磋商报告应当包括以下主要内容：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（1）邀请供应商参加采购活动的具体方式和相关情况；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（2）响应文件开启日期和地点；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（3）获取磋商文件的供应商名单和磋商小组成员名单；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（5）提出的成交候选供应商的排序名单及理由。</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2.12供应商澄清、说明</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2.13终止磋商采购活动。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出现下列情形之一的，采购人应当终止竞争性磋商采购活动，发布项目终止公告并说明原因，重新开展采购活动：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（1）因情况变化，不再符合规定的竞争性磋商采购方式适用情形的；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（2）出现影响采购公正的违法、违规行为的；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（3）除本章2.3.1和2.5.3的情况外，在采购过程中符合要求的供应商或者报价未超过采购预算的供应商不足3家的。</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综合评分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3.1本次综合评分的因素是：</w:t>
      </w:r>
      <w:r>
        <w:rPr>
          <w:rFonts w:hint="eastAsia" w:ascii="宋体" w:hAnsi="宋体" w:eastAsia="宋体" w:cs="宋体"/>
          <w:color w:val="auto"/>
          <w:sz w:val="24"/>
          <w:highlight w:val="none"/>
          <w:lang w:eastAsia="zh-CN"/>
        </w:rPr>
        <w:t>详见综合评分明细表</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w:t>
      </w:r>
      <w:bookmarkEnd w:id="123"/>
      <w:bookmarkEnd w:id="124"/>
      <w:r>
        <w:rPr>
          <w:rFonts w:hint="eastAsia" w:ascii="宋体" w:hAnsi="宋体" w:eastAsia="宋体" w:cs="宋体"/>
          <w:b/>
          <w:bCs/>
          <w:color w:val="auto"/>
          <w:kern w:val="2"/>
          <w:sz w:val="24"/>
          <w:szCs w:val="24"/>
          <w:highlight w:val="none"/>
          <w:lang w:val="en-US" w:eastAsia="zh-CN" w:bidi="ar-SA"/>
        </w:rPr>
        <w:t>综合评分法</w:t>
      </w:r>
    </w:p>
    <w:p>
      <w:pPr>
        <w:pStyle w:val="3"/>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 评分办法</w:t>
      </w:r>
    </w:p>
    <w:p>
      <w:pPr>
        <w:pStyle w:val="3"/>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 xml:space="preserve">3.2.2 </w:t>
      </w:r>
      <w:r>
        <w:rPr>
          <w:rFonts w:hint="eastAsia" w:ascii="宋体" w:hAnsi="宋体" w:eastAsia="宋体" w:cs="宋体"/>
          <w:b/>
          <w:bCs/>
          <w:color w:val="auto"/>
          <w:sz w:val="24"/>
          <w:highlight w:val="none"/>
        </w:rPr>
        <w:t>综合评分明细表</w:t>
      </w:r>
    </w:p>
    <w:tbl>
      <w:tblPr>
        <w:tblStyle w:val="23"/>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20"/>
        <w:gridCol w:w="850"/>
        <w:gridCol w:w="535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评分因素及权重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分值</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评分标准</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报价</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color w:val="auto"/>
              </w:rPr>
            </w:pPr>
            <w:r>
              <w:rPr>
                <w:rFonts w:hint="eastAsia"/>
                <w:color w:val="auto"/>
              </w:rPr>
              <w:t>10分</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满足磋商文件要求且响应价格最低的响应报价为基准价，其价格分为满分。其他供应商的价格分统一按照下列公式计算：报价得分=(基准价／报价)*10分。</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2</w:t>
            </w:r>
          </w:p>
        </w:tc>
        <w:tc>
          <w:tcPr>
            <w:tcW w:w="112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lang w:eastAsia="en-US"/>
              </w:rPr>
            </w:pPr>
            <w:r>
              <w:rPr>
                <w:rFonts w:hint="eastAsia" w:ascii="宋体" w:hAnsi="宋体" w:cs="宋体"/>
                <w:color w:val="auto"/>
                <w:sz w:val="24"/>
                <w:lang w:val="en-US" w:eastAsia="zh-CN"/>
              </w:rPr>
              <w:t>服务方案42</w:t>
            </w:r>
            <w:r>
              <w:rPr>
                <w:rFonts w:hint="eastAsia" w:ascii="宋体" w:hAnsi="宋体" w:cs="宋体"/>
                <w:color w:val="auto"/>
                <w:sz w:val="24"/>
                <w:lang w:eastAsia="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s="宋体"/>
                <w:color w:val="auto"/>
                <w:sz w:val="24"/>
                <w:lang w:eastAsia="en-US"/>
              </w:rPr>
            </w:pPr>
            <w:r>
              <w:rPr>
                <w:rFonts w:hint="eastAsia" w:ascii="宋体" w:hAnsi="宋体" w:cs="宋体"/>
                <w:color w:val="auto"/>
                <w:sz w:val="24"/>
                <w:lang w:val="en-US" w:eastAsia="zh-CN"/>
              </w:rPr>
              <w:t>42</w:t>
            </w:r>
            <w:r>
              <w:rPr>
                <w:rFonts w:hint="eastAsia" w:ascii="宋体" w:hAnsi="宋体" w:cs="宋体"/>
                <w:color w:val="auto"/>
                <w:sz w:val="24"/>
              </w:rPr>
              <w:t>分</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pStyle w:val="79"/>
              <w:keepNext w:val="0"/>
              <w:keepLines w:val="0"/>
              <w:pageBreakBefore w:val="0"/>
              <w:numPr>
                <w:ilvl w:val="0"/>
                <w:numId w:val="6"/>
              </w:numPr>
              <w:kinsoku/>
              <w:wordWrap/>
              <w:overflowPunct/>
              <w:topLinePunct w:val="0"/>
              <w:autoSpaceDE/>
              <w:autoSpaceDN/>
              <w:bidi w:val="0"/>
              <w:adjustRightInd/>
              <w:snapToGrid w:val="0"/>
              <w:spacing w:line="240" w:lineRule="auto"/>
              <w:ind w:firstLine="480" w:firstLineChars="200"/>
              <w:textAlignment w:val="auto"/>
              <w:rPr>
                <w:rFonts w:ascii="宋体" w:hAnsi="宋体" w:cs="宋体"/>
                <w:color w:val="auto"/>
                <w:sz w:val="24"/>
                <w:szCs w:val="24"/>
                <w:highlight w:val="none"/>
                <w:shd w:val="clear" w:color="auto" w:fill="auto"/>
              </w:rPr>
            </w:pPr>
            <w:r>
              <w:rPr>
                <w:rFonts w:hint="eastAsia" w:ascii="宋体" w:hAnsi="宋体" w:cs="宋体"/>
                <w:color w:val="auto"/>
                <w:sz w:val="24"/>
              </w:rPr>
              <w:t>根据供应商针对本项目提供的</w:t>
            </w:r>
            <w:r>
              <w:rPr>
                <w:rFonts w:ascii="宋体" w:hAnsi="宋体" w:cs="宋体"/>
                <w:color w:val="auto"/>
                <w:sz w:val="24"/>
                <w:szCs w:val="24"/>
                <w:highlight w:val="none"/>
                <w:shd w:val="clear" w:color="auto" w:fill="auto"/>
              </w:rPr>
              <w:t>项目</w:t>
            </w:r>
            <w:r>
              <w:rPr>
                <w:rFonts w:hint="eastAsia" w:ascii="宋体" w:hAnsi="宋体" w:cs="宋体"/>
                <w:color w:val="auto"/>
                <w:sz w:val="24"/>
                <w:szCs w:val="24"/>
                <w:highlight w:val="none"/>
                <w:shd w:val="clear" w:color="auto" w:fill="auto"/>
              </w:rPr>
              <w:t>实施方案</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cs="宋体"/>
                <w:color w:val="auto"/>
                <w:sz w:val="24"/>
                <w:szCs w:val="24"/>
                <w:highlight w:val="none"/>
                <w:shd w:val="clear" w:color="auto" w:fill="auto"/>
              </w:rPr>
              <w:t>①</w:t>
            </w:r>
            <w:r>
              <w:rPr>
                <w:rFonts w:hint="eastAsia" w:ascii="宋体" w:hAnsi="宋体" w:cs="宋体"/>
                <w:color w:val="auto"/>
                <w:sz w:val="24"/>
                <w:szCs w:val="24"/>
                <w:highlight w:val="none"/>
                <w:shd w:val="clear" w:color="auto" w:fill="auto"/>
                <w:lang w:val="en-US" w:eastAsia="zh-CN"/>
              </w:rPr>
              <w:t>具体</w:t>
            </w:r>
            <w:r>
              <w:rPr>
                <w:rFonts w:hint="eastAsia" w:ascii="宋体" w:hAnsi="宋体" w:cs="宋体"/>
                <w:color w:val="auto"/>
                <w:sz w:val="24"/>
                <w:szCs w:val="24"/>
                <w:highlight w:val="none"/>
                <w:shd w:val="clear" w:color="auto" w:fill="auto"/>
              </w:rPr>
              <w:t>工作内容；②工作流程及技术路线；③技术方法；④组织保障措施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⑤</w:t>
            </w:r>
            <w:r>
              <w:rPr>
                <w:rFonts w:hint="eastAsia" w:ascii="宋体" w:hAnsi="宋体" w:cs="宋体"/>
                <w:color w:val="auto"/>
                <w:sz w:val="24"/>
                <w:szCs w:val="24"/>
                <w:highlight w:val="none"/>
                <w:shd w:val="clear" w:color="auto" w:fill="auto"/>
              </w:rPr>
              <w:t>进度计划及保障措施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⑥</w:t>
            </w:r>
            <w:r>
              <w:rPr>
                <w:rFonts w:hint="eastAsia" w:ascii="宋体" w:hAnsi="宋体" w:cs="宋体"/>
                <w:color w:val="auto"/>
                <w:sz w:val="24"/>
                <w:szCs w:val="24"/>
                <w:highlight w:val="none"/>
                <w:shd w:val="clear" w:color="auto" w:fill="auto"/>
              </w:rPr>
              <w:t>质量控制措施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⑦</w:t>
            </w:r>
            <w:r>
              <w:rPr>
                <w:rFonts w:hint="eastAsia" w:ascii="宋体" w:hAnsi="宋体" w:cs="宋体"/>
                <w:color w:val="auto"/>
                <w:sz w:val="24"/>
                <w:highlight w:val="none"/>
                <w:shd w:val="clear" w:color="auto" w:fill="auto"/>
              </w:rPr>
              <w:t>应急处理措施</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rPr>
              <w:t>方案齐全且无缺陷得</w:t>
            </w:r>
            <w:r>
              <w:rPr>
                <w:rFonts w:hint="eastAsia" w:ascii="宋体" w:hAnsi="宋体" w:cs="宋体"/>
                <w:color w:val="auto"/>
                <w:sz w:val="24"/>
                <w:lang w:val="en-US" w:eastAsia="zh-CN"/>
              </w:rPr>
              <w:t>42</w:t>
            </w:r>
            <w:r>
              <w:rPr>
                <w:rFonts w:hint="eastAsia" w:ascii="宋体" w:hAnsi="宋体" w:cs="宋体"/>
                <w:color w:val="auto"/>
                <w:sz w:val="24"/>
              </w:rPr>
              <w:t>分，每缺少一项内容扣分</w:t>
            </w:r>
            <w:r>
              <w:rPr>
                <w:rFonts w:hint="eastAsia" w:ascii="宋体" w:hAnsi="宋体" w:cs="宋体"/>
                <w:color w:val="auto"/>
                <w:sz w:val="24"/>
                <w:lang w:val="en-US" w:eastAsia="zh-CN"/>
              </w:rPr>
              <w:t>6</w:t>
            </w:r>
            <w:r>
              <w:rPr>
                <w:rFonts w:hint="eastAsia" w:ascii="宋体" w:hAnsi="宋体" w:cs="宋体"/>
                <w:color w:val="auto"/>
                <w:sz w:val="24"/>
              </w:rPr>
              <w:t>分，每项中每有一处缺陷扣</w:t>
            </w:r>
            <w:r>
              <w:rPr>
                <w:rFonts w:hint="eastAsia" w:ascii="宋体" w:hAnsi="宋体" w:cs="宋体"/>
                <w:color w:val="auto"/>
                <w:sz w:val="24"/>
                <w:lang w:val="en-US" w:eastAsia="zh-CN"/>
              </w:rPr>
              <w:t>3</w:t>
            </w:r>
            <w:r>
              <w:rPr>
                <w:rFonts w:hint="eastAsia" w:ascii="宋体" w:hAnsi="宋体" w:cs="宋体"/>
                <w:color w:val="auto"/>
                <w:sz w:val="24"/>
              </w:rPr>
              <w:t>分，每项最多扣</w:t>
            </w:r>
            <w:r>
              <w:rPr>
                <w:rFonts w:hint="eastAsia" w:ascii="宋体" w:hAnsi="宋体" w:cs="宋体"/>
                <w:color w:val="auto"/>
                <w:sz w:val="24"/>
                <w:lang w:val="en-US" w:eastAsia="zh-CN"/>
              </w:rPr>
              <w:t>6</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3</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color w:val="auto"/>
                <w:sz w:val="24"/>
                <w:szCs w:val="24"/>
                <w:lang w:eastAsia="zh-CN"/>
              </w:rPr>
            </w:pPr>
            <w:r>
              <w:rPr>
                <w:rFonts w:hint="eastAsia"/>
                <w:color w:val="auto"/>
                <w:sz w:val="24"/>
                <w:szCs w:val="24"/>
                <w:lang w:val="en-US" w:eastAsia="zh-CN"/>
              </w:rPr>
              <w:t>后续服务24</w:t>
            </w:r>
            <w:r>
              <w:rPr>
                <w:rFonts w:hint="eastAsia"/>
                <w:color w:val="auto"/>
                <w:sz w:val="24"/>
                <w:szCs w:val="24"/>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color w:val="auto"/>
                <w:sz w:val="24"/>
                <w:szCs w:val="24"/>
              </w:rPr>
            </w:pPr>
            <w:r>
              <w:rPr>
                <w:rFonts w:hint="eastAsia"/>
                <w:color w:val="auto"/>
                <w:sz w:val="24"/>
                <w:szCs w:val="24"/>
                <w:lang w:val="en-US" w:eastAsia="zh-CN"/>
              </w:rPr>
              <w:t>24</w:t>
            </w:r>
            <w:r>
              <w:rPr>
                <w:rFonts w:hint="eastAsia"/>
                <w:color w:val="auto"/>
                <w:sz w:val="24"/>
                <w:szCs w:val="24"/>
              </w:rPr>
              <w:t>分</w:t>
            </w:r>
          </w:p>
        </w:tc>
        <w:tc>
          <w:tcPr>
            <w:tcW w:w="5356" w:type="dxa"/>
            <w:tcBorders>
              <w:top w:val="single" w:color="auto" w:sz="4" w:space="0"/>
              <w:left w:val="single" w:color="auto" w:sz="4" w:space="0"/>
              <w:bottom w:val="single" w:color="auto" w:sz="4" w:space="0"/>
              <w:right w:val="single" w:color="auto" w:sz="4" w:space="0"/>
            </w:tcBorders>
            <w:noWrap w:val="0"/>
            <w:vAlign w:val="top"/>
          </w:tcPr>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rPr>
            </w:pPr>
            <w:r>
              <w:rPr>
                <w:rFonts w:hint="eastAsia" w:ascii="宋体" w:hAnsi="宋体" w:cs="宋体"/>
                <w:color w:val="auto"/>
                <w:sz w:val="24"/>
              </w:rPr>
              <w:t>根据供应商针对本项目提供的</w:t>
            </w:r>
            <w:r>
              <w:rPr>
                <w:rFonts w:hint="eastAsia" w:ascii="宋体" w:hAnsi="宋体" w:cs="宋体"/>
                <w:color w:val="auto"/>
                <w:sz w:val="24"/>
                <w:highlight w:val="none"/>
                <w:shd w:val="clear" w:color="auto" w:fill="auto"/>
                <w:lang w:eastAsia="zh-CN"/>
              </w:rPr>
              <w:t>项目</w:t>
            </w:r>
            <w:r>
              <w:rPr>
                <w:rFonts w:hint="eastAsia"/>
                <w:color w:val="auto"/>
                <w:sz w:val="24"/>
                <w:szCs w:val="24"/>
                <w:lang w:val="en-US" w:eastAsia="zh-CN"/>
              </w:rPr>
              <w:t>后续服务</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eastAsia="宋体" w:cs="宋体"/>
                <w:color w:val="auto"/>
                <w:sz w:val="24"/>
                <w:szCs w:val="20"/>
                <w:lang w:val="en-US" w:eastAsia="zh-CN"/>
              </w:rPr>
              <w:t>：①售后服务人员配备及岗位划分；②响应时间及方式；③售后服务承诺。</w:t>
            </w:r>
            <w:r>
              <w:rPr>
                <w:rFonts w:hint="eastAsia" w:ascii="宋体" w:hAnsi="宋体" w:cs="宋体"/>
                <w:color w:val="auto"/>
                <w:sz w:val="24"/>
              </w:rPr>
              <w:t>方案齐全且无缺陷得</w:t>
            </w:r>
            <w:r>
              <w:rPr>
                <w:rFonts w:hint="eastAsia" w:ascii="宋体" w:hAnsi="宋体" w:cs="宋体"/>
                <w:color w:val="auto"/>
                <w:sz w:val="24"/>
                <w:lang w:val="en-US" w:eastAsia="zh-CN"/>
              </w:rPr>
              <w:t>24</w:t>
            </w:r>
            <w:r>
              <w:rPr>
                <w:rFonts w:hint="eastAsia" w:ascii="宋体" w:hAnsi="宋体" w:cs="宋体"/>
                <w:color w:val="auto"/>
                <w:sz w:val="24"/>
              </w:rPr>
              <w:t>分，每缺少一项内容扣分</w:t>
            </w:r>
            <w:r>
              <w:rPr>
                <w:rFonts w:hint="eastAsia" w:ascii="宋体" w:hAnsi="宋体" w:cs="宋体"/>
                <w:color w:val="auto"/>
                <w:sz w:val="24"/>
                <w:lang w:val="en-US" w:eastAsia="zh-CN"/>
              </w:rPr>
              <w:t>8</w:t>
            </w:r>
            <w:r>
              <w:rPr>
                <w:rFonts w:hint="eastAsia" w:ascii="宋体" w:hAnsi="宋体" w:cs="宋体"/>
                <w:color w:val="auto"/>
                <w:sz w:val="24"/>
              </w:rPr>
              <w:t>分，每项中每有一处缺陷扣</w:t>
            </w:r>
            <w:r>
              <w:rPr>
                <w:rFonts w:hint="eastAsia" w:ascii="宋体" w:hAnsi="宋体" w:cs="宋体"/>
                <w:color w:val="auto"/>
                <w:sz w:val="24"/>
                <w:lang w:val="en-US" w:eastAsia="zh-CN"/>
              </w:rPr>
              <w:t>4</w:t>
            </w:r>
            <w:r>
              <w:rPr>
                <w:rFonts w:hint="eastAsia" w:ascii="宋体" w:hAnsi="宋体" w:cs="宋体"/>
                <w:color w:val="auto"/>
                <w:sz w:val="24"/>
              </w:rPr>
              <w:t>分，每项最多扣</w:t>
            </w:r>
            <w:r>
              <w:rPr>
                <w:rFonts w:hint="eastAsia" w:ascii="宋体" w:hAnsi="宋体" w:cs="宋体"/>
                <w:color w:val="auto"/>
                <w:sz w:val="24"/>
                <w:lang w:val="en-US" w:eastAsia="zh-CN"/>
              </w:rPr>
              <w:t>8</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pStyle w:val="80"/>
              <w:keepNext w:val="0"/>
              <w:keepLines w:val="0"/>
              <w:pageBreakBefore w:val="0"/>
              <w:kinsoku/>
              <w:wordWrap/>
              <w:overflowPunct/>
              <w:topLinePunct w:val="0"/>
              <w:autoSpaceDE/>
              <w:autoSpaceDN/>
              <w:bidi w:val="0"/>
              <w:adjustRightInd/>
              <w:snapToGrid w:val="0"/>
              <w:spacing w:before="119" w:line="240" w:lineRule="auto"/>
              <w:ind w:right="103" w:firstLine="480" w:firstLineChars="200"/>
              <w:textAlignment w:val="auto"/>
              <w:rPr>
                <w:rFonts w:hint="eastAsia" w:eastAsia="宋体"/>
                <w:color w:val="auto"/>
                <w:sz w:val="24"/>
                <w:szCs w:val="24"/>
                <w:lang w:eastAsia="zh-CN"/>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92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4</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人员配置</w:t>
            </w:r>
            <w:r>
              <w:rPr>
                <w:rFonts w:hint="eastAsia" w:ascii="宋体" w:hAnsi="宋体" w:cs="宋体"/>
                <w:color w:val="auto"/>
                <w:sz w:val="24"/>
                <w:lang w:val="en-US" w:eastAsia="zh-CN"/>
              </w:rPr>
              <w:t>12</w:t>
            </w:r>
            <w:r>
              <w:rPr>
                <w:rFonts w:hint="eastAsia" w:ascii="宋体" w:hAnsi="宋体" w:cs="宋体"/>
                <w:color w:val="auto"/>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color w:val="auto"/>
              </w:rPr>
            </w:pPr>
            <w:r>
              <w:rPr>
                <w:rFonts w:hint="eastAsia" w:ascii="宋体" w:hAnsi="宋体" w:cs="宋体"/>
                <w:color w:val="auto"/>
                <w:sz w:val="24"/>
                <w:lang w:val="en-US" w:eastAsia="zh-CN"/>
              </w:rPr>
              <w:t>12</w:t>
            </w:r>
            <w:r>
              <w:rPr>
                <w:rFonts w:hint="eastAsia" w:ascii="宋体" w:hAnsi="宋体" w:cs="宋体"/>
                <w:color w:val="auto"/>
                <w:sz w:val="24"/>
              </w:rPr>
              <w:t>分</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lang w:val="en-US"/>
              </w:rPr>
            </w:pPr>
            <w:r>
              <w:rPr>
                <w:rFonts w:hint="eastAsia" w:ascii="宋体" w:hAnsi="宋体" w:cs="宋体"/>
                <w:color w:val="auto"/>
                <w:sz w:val="24"/>
                <w:lang w:val="en-US"/>
              </w:rPr>
              <w:t>1、拟投入本项目的项目负责人(1人)</w:t>
            </w:r>
            <w:r>
              <w:rPr>
                <w:rFonts w:hint="eastAsia" w:ascii="宋体" w:hAnsi="宋体" w:cs="宋体"/>
                <w:color w:val="auto"/>
                <w:sz w:val="24"/>
                <w:lang w:val="en-US" w:eastAsia="zh-CN"/>
              </w:rPr>
              <w:t>：</w:t>
            </w:r>
            <w:r>
              <w:rPr>
                <w:rFonts w:hint="eastAsia" w:ascii="宋体" w:hAnsi="宋体" w:cs="宋体"/>
                <w:color w:val="auto"/>
                <w:sz w:val="24"/>
                <w:lang w:val="en-US"/>
              </w:rPr>
              <w:t>具有林业类相关专业正高级职称证书得4分，</w:t>
            </w:r>
            <w:r>
              <w:rPr>
                <w:rFonts w:hint="eastAsia" w:ascii="宋体" w:hAnsi="宋体" w:cs="宋体"/>
                <w:color w:val="auto"/>
                <w:sz w:val="24"/>
              </w:rPr>
              <w:t>本项最高</w:t>
            </w:r>
            <w:r>
              <w:rPr>
                <w:rFonts w:hint="eastAsia" w:ascii="宋体" w:hAnsi="宋体" w:cs="宋体"/>
                <w:color w:val="auto"/>
                <w:sz w:val="24"/>
                <w:lang w:val="en-US"/>
              </w:rPr>
              <w:t>4</w:t>
            </w:r>
            <w:r>
              <w:rPr>
                <w:rFonts w:hint="eastAsia" w:ascii="宋体" w:hAnsi="宋体" w:cs="宋体"/>
                <w:color w:val="auto"/>
                <w:sz w:val="24"/>
              </w:rPr>
              <w:t>分</w:t>
            </w:r>
            <w:r>
              <w:rPr>
                <w:rFonts w:hint="eastAsia" w:ascii="宋体" w:hAnsi="宋体" w:cs="宋体"/>
                <w:color w:val="auto"/>
                <w:sz w:val="24"/>
                <w:lang w:val="en-US"/>
              </w:rPr>
              <w:t>。</w:t>
            </w:r>
          </w:p>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2、拟投入本项目的技术负责人(1人)：具有建筑及相关专业高级及以上</w:t>
            </w:r>
            <w:r>
              <w:rPr>
                <w:rFonts w:hint="eastAsia" w:ascii="宋体" w:hAnsi="宋体" w:eastAsia="宋体" w:cs="宋体"/>
                <w:b w:val="0"/>
                <w:color w:val="auto"/>
                <w:kern w:val="2"/>
                <w:sz w:val="24"/>
                <w:szCs w:val="24"/>
                <w:highlight w:val="none"/>
                <w:lang w:val="zh-CN" w:eastAsia="zh-CN" w:bidi="ar-SA"/>
              </w:rPr>
              <w:t>职称</w:t>
            </w:r>
            <w:r>
              <w:rPr>
                <w:rFonts w:hint="eastAsia" w:ascii="宋体" w:hAnsi="宋体" w:eastAsia="宋体" w:cs="宋体"/>
                <w:b w:val="0"/>
                <w:color w:val="auto"/>
                <w:kern w:val="2"/>
                <w:sz w:val="24"/>
                <w:szCs w:val="24"/>
                <w:highlight w:val="none"/>
                <w:lang w:val="en-US" w:eastAsia="zh-CN" w:bidi="ar-SA"/>
              </w:rPr>
              <w:t>得2分，同时具有一级注册建筑师资格证书加2分，</w:t>
            </w:r>
            <w:r>
              <w:rPr>
                <w:rFonts w:hint="eastAsia" w:ascii="宋体" w:hAnsi="宋体" w:eastAsia="宋体" w:cs="宋体"/>
                <w:b w:val="0"/>
                <w:color w:val="auto"/>
                <w:kern w:val="2"/>
                <w:sz w:val="24"/>
                <w:szCs w:val="24"/>
                <w:highlight w:val="none"/>
                <w:lang w:val="zh-CN" w:eastAsia="zh-CN" w:bidi="ar-SA"/>
              </w:rPr>
              <w:t>本项最高</w:t>
            </w:r>
            <w:r>
              <w:rPr>
                <w:rFonts w:hint="eastAsia" w:ascii="宋体" w:hAnsi="宋体" w:eastAsia="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zh-CN" w:eastAsia="zh-CN" w:bidi="ar-SA"/>
              </w:rPr>
              <w:t>分</w:t>
            </w:r>
            <w:r>
              <w:rPr>
                <w:rFonts w:hint="eastAsia" w:ascii="宋体" w:hAnsi="宋体" w:eastAsia="宋体" w:cs="宋体"/>
                <w:b w:val="0"/>
                <w:color w:val="auto"/>
                <w:kern w:val="2"/>
                <w:sz w:val="24"/>
                <w:szCs w:val="24"/>
                <w:highlight w:val="none"/>
                <w:lang w:val="en-US" w:eastAsia="zh-CN" w:bidi="ar-SA"/>
              </w:rPr>
              <w:t>。</w:t>
            </w:r>
          </w:p>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3、拟投入本项目的项目团队人员（2人）：配备一名林业类相关专业中级及以上职称人员得2分，配备一名建筑及相关专业中级及以上职称人员得2分，本项最高4分。</w:t>
            </w:r>
          </w:p>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b/>
                <w:bCs/>
                <w:color w:val="auto"/>
                <w:sz w:val="24"/>
              </w:rPr>
            </w:pPr>
            <w:r>
              <w:rPr>
                <w:rFonts w:hint="eastAsia" w:ascii="宋体" w:hAnsi="宋体" w:cs="宋体"/>
                <w:color w:val="auto"/>
                <w:sz w:val="24"/>
                <w:lang w:val="en-US"/>
              </w:rPr>
              <w:t>注：以上人员不重复计分且</w:t>
            </w:r>
            <w:r>
              <w:rPr>
                <w:rFonts w:hint="eastAsia" w:ascii="宋体" w:hAnsi="宋体" w:cs="宋体"/>
                <w:color w:val="auto"/>
                <w:sz w:val="24"/>
                <w:lang w:val="en-US" w:eastAsia="zh-CN"/>
              </w:rPr>
              <w:t>需</w:t>
            </w:r>
            <w:r>
              <w:rPr>
                <w:rFonts w:hint="eastAsia" w:ascii="宋体" w:hAnsi="宋体" w:cs="宋体"/>
                <w:color w:val="auto"/>
                <w:sz w:val="24"/>
                <w:lang w:val="en-US"/>
              </w:rPr>
              <w:t>为供应商本单位人员，人员须提供相关在职证明材料，盖供应商公章，提供相关人员证书</w:t>
            </w:r>
            <w:r>
              <w:rPr>
                <w:rFonts w:hint="eastAsia" w:ascii="宋体" w:hAnsi="宋体" w:cs="宋体"/>
                <w:color w:val="auto"/>
                <w:sz w:val="24"/>
                <w:lang w:val="en-US" w:eastAsia="zh-CN"/>
              </w:rPr>
              <w:t>复印件</w:t>
            </w:r>
            <w:r>
              <w:rPr>
                <w:rFonts w:hint="eastAsia" w:ascii="宋体" w:hAnsi="宋体" w:cs="宋体"/>
                <w:color w:val="auto"/>
                <w:sz w:val="24"/>
                <w:lang w:val="en-US"/>
              </w:rPr>
              <w:t>，盖供应商公章。</w:t>
            </w:r>
          </w:p>
        </w:tc>
        <w:tc>
          <w:tcPr>
            <w:tcW w:w="92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业绩</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4"/>
                <w:lang w:val="en-US" w:eastAsia="zh-CN"/>
              </w:rPr>
            </w:pPr>
            <w:r>
              <w:rPr>
                <w:rFonts w:hint="eastAsia" w:cs="宋体"/>
                <w:color w:val="auto"/>
                <w:szCs w:val="24"/>
              </w:rPr>
              <w:t>12</w:t>
            </w:r>
            <w:r>
              <w:rPr>
                <w:rFonts w:hint="eastAsia" w:ascii="宋体" w:hAnsi="宋体" w:cs="宋体"/>
                <w:color w:val="auto"/>
                <w:sz w:val="24"/>
              </w:rPr>
              <w:t>分</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rPr>
            </w:pPr>
            <w:r>
              <w:rPr>
                <w:rFonts w:hint="eastAsia" w:ascii="宋体" w:hAnsi="宋体" w:cs="宋体"/>
                <w:color w:val="auto"/>
                <w:sz w:val="24"/>
              </w:rPr>
              <w:t>供应商2021年1月1日以来每具有1个已完成或新承接的类似项目业绩的得6分，本项最多得12分。</w:t>
            </w:r>
          </w:p>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rPr>
            </w:pPr>
            <w:r>
              <w:rPr>
                <w:rFonts w:hint="eastAsia" w:ascii="宋体" w:hAnsi="宋体" w:cs="宋体"/>
                <w:color w:val="auto"/>
                <w:sz w:val="24"/>
              </w:rPr>
              <w:t>注：1、类似项目业绩是指类似规划类编制服务项目。</w:t>
            </w:r>
          </w:p>
          <w:p>
            <w:pPr>
              <w:pStyle w:val="79"/>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color w:val="auto"/>
                <w:sz w:val="24"/>
                <w:lang w:val="en-US"/>
              </w:rPr>
            </w:pPr>
            <w:r>
              <w:rPr>
                <w:rFonts w:hint="eastAsia" w:ascii="宋体" w:hAnsi="宋体" w:cs="宋体"/>
                <w:color w:val="auto"/>
                <w:sz w:val="24"/>
              </w:rPr>
              <w:t>2、提供中标通知书（成交通知书）或合同复印件并加盖供应商公章。</w:t>
            </w:r>
          </w:p>
        </w:tc>
        <w:tc>
          <w:tcPr>
            <w:tcW w:w="92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04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rPr>
            </w:pPr>
            <w:r>
              <w:rPr>
                <w:rFonts w:hint="eastAsia"/>
                <w:color w:val="auto"/>
              </w:rPr>
              <w:t>注：1.评审得分相同的，按照最后报价由低到高的顺序推荐。评审得分且最后报价相同的，按照技术指标优劣（本项目的技术指标为：服务方案，按照技术指标得分确定优劣）顺序推荐。若评审得分、最后报价、技术指标得分均相同的，供应商为少数民族的优先推荐为项目的成交供应商。（少数民族地区需提供相关证明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rPr>
            </w:pPr>
            <w:r>
              <w:rPr>
                <w:rFonts w:hint="eastAsia"/>
                <w:color w:val="auto"/>
              </w:rPr>
              <w:t>2.本表中要求提供的复印件材料，均需加盖供应商单位公章（空白页可不加盖单位公章。）</w:t>
            </w:r>
          </w:p>
        </w:tc>
      </w:tr>
    </w:tbl>
    <w:p>
      <w:pPr>
        <w:rPr>
          <w:rFonts w:hint="eastAsia" w:ascii="宋体" w:hAnsi="宋体" w:eastAsia="宋体" w:cs="宋体"/>
          <w:b/>
          <w:bCs/>
          <w:color w:val="auto"/>
          <w:sz w:val="24"/>
          <w:highlight w:val="none"/>
        </w:rPr>
      </w:pPr>
    </w:p>
    <w:p>
      <w:pPr>
        <w:pStyle w:val="12"/>
        <w:tabs>
          <w:tab w:val="left" w:pos="600"/>
        </w:tabs>
        <w:spacing w:line="360" w:lineRule="auto"/>
        <w:ind w:left="0" w:leftChars="0" w:firstLine="0" w:firstLineChars="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w:t>
      </w:r>
    </w:p>
    <w:p>
      <w:pPr>
        <w:pStyle w:val="5"/>
        <w:spacing w:line="360" w:lineRule="auto"/>
        <w:ind w:firstLine="481" w:firstLineChars="200"/>
        <w:rPr>
          <w:rFonts w:hint="eastAsia" w:ascii="宋体" w:hAnsi="宋体" w:eastAsia="宋体" w:cs="宋体"/>
          <w:bCs w:val="0"/>
          <w:color w:val="auto"/>
          <w:sz w:val="24"/>
          <w:szCs w:val="24"/>
          <w:highlight w:val="none"/>
        </w:rPr>
      </w:pPr>
      <w:bookmarkStart w:id="126" w:name="_Toc18643"/>
      <w:bookmarkStart w:id="127" w:name="_Toc29042"/>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6"/>
      <w:bookmarkEnd w:id="127"/>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4.2 按照政府采购法律法规和采购文件的规定要求对供应商的资格条件和供应商提供的产品价格、技术、服务等方面严格进行评判，提供科学合理、公平公正的评审意见，参与起草评审报告，并予签字确认。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4.3 保守秘密。不得透露采购文件咨询情况，不得</w:t>
      </w:r>
      <w:r>
        <w:rPr>
          <w:rFonts w:hint="eastAsia" w:ascii="宋体" w:hAnsi="宋体" w:eastAsia="宋体" w:cs="宋体"/>
          <w:color w:val="auto"/>
          <w:sz w:val="24"/>
          <w:highlight w:val="none"/>
          <w:lang w:eastAsia="zh-CN"/>
        </w:rPr>
        <w:t>泄露</w:t>
      </w:r>
      <w:r>
        <w:rPr>
          <w:rFonts w:hint="eastAsia" w:ascii="宋体" w:hAnsi="宋体" w:eastAsia="宋体" w:cs="宋体"/>
          <w:color w:val="auto"/>
          <w:sz w:val="24"/>
          <w:highlight w:val="none"/>
        </w:rPr>
        <w:t>供应商的响应文件及知悉的商业秘密，不得向供应商透露评审情况。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4.4 发现供应商在政府采购活动中有不正当竞争或恶意串通等违规行为，及时向政府采购评审工作的组织者或财政部门报告并加以制止。</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发现采购人及其工作人员在政府采购活动中有干预评审、发表倾向性和歧视性言论、受贿或者接受供应商的其他好处及其他违法违规行为，及时向财政部门报告。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4.5 解答有关方面对政府采购评审工作中有关问题的询问，配合采购人答复供应商质疑处理工作等事宜。</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4.6 法律、法规和规章规定的其他义务。</w:t>
      </w:r>
    </w:p>
    <w:p>
      <w:pPr>
        <w:keepNext w:val="0"/>
        <w:keepLines w:val="0"/>
        <w:pageBreakBefore w:val="0"/>
        <w:widowControl/>
        <w:kinsoku/>
        <w:wordWrap/>
        <w:overflowPunct/>
        <w:topLinePunct w:val="0"/>
        <w:autoSpaceDE w:val="0"/>
        <w:autoSpaceDN w:val="0"/>
        <w:bidi w:val="0"/>
        <w:adjustRightInd/>
        <w:snapToGrid/>
        <w:spacing w:before="320" w:beforeLines="100" w:after="320" w:afterLines="100" w:line="360" w:lineRule="auto"/>
        <w:ind w:right="51" w:firstLine="481" w:firstLineChars="200"/>
        <w:textAlignment w:val="bottom"/>
        <w:outlineLvl w:val="1"/>
        <w:rPr>
          <w:rFonts w:hint="eastAsia" w:ascii="宋体" w:hAnsi="宋体" w:eastAsia="宋体" w:cs="宋体"/>
          <w:b/>
          <w:color w:val="auto"/>
          <w:sz w:val="24"/>
          <w:highlight w:val="none"/>
        </w:rPr>
      </w:pPr>
      <w:bookmarkStart w:id="128" w:name="_Toc13413"/>
      <w:bookmarkStart w:id="129" w:name="_Toc4780"/>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bookmarkEnd w:id="128"/>
      <w:bookmarkEnd w:id="129"/>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5.1 应邀按时参加评审和咨询活动。遇特殊情况不能出席或途中遇阻不能按时参加评审或咨询的，应及时告知财政部门或者采购人，不得私自转托他人。</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5.2 不得参加与自己有利害关系的政府采购项目的评审活动。对与自己有利害关系的评审项目，如受到邀请，应主动提出回避。财政部门、采购人也可要求该评审专家回避。</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包括一般工作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或担任顾问，配偶或直系亲属在参加该采购项目的供应商中任职或担任顾问，与参加该采购项目供应商发生过法律纠纷，以及其他可能影响公正评审的情况。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ascii="宋体" w:hAnsi="宋体" w:eastAsia="宋体" w:cs="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4"/>
        <w:bidi w:val="0"/>
        <w:jc w:val="center"/>
        <w:rPr>
          <w:rFonts w:hint="eastAsia" w:eastAsiaTheme="minorEastAsia"/>
          <w:color w:val="auto"/>
          <w:highlight w:val="none"/>
          <w:lang w:eastAsia="zh-CN"/>
        </w:rPr>
      </w:pPr>
      <w:bookmarkStart w:id="130" w:name="_Toc28814"/>
      <w:bookmarkStart w:id="131" w:name="_Toc14305_WPSOffice_Level1"/>
      <w:bookmarkStart w:id="132" w:name="_Toc9426"/>
      <w:bookmarkStart w:id="133" w:name="_Toc23669"/>
      <w:r>
        <w:rPr>
          <w:rFonts w:hint="eastAsia"/>
          <w:color w:val="auto"/>
          <w:highlight w:val="none"/>
        </w:rPr>
        <w:t xml:space="preserve">第八章  </w:t>
      </w:r>
      <w:bookmarkEnd w:id="130"/>
      <w:bookmarkEnd w:id="131"/>
      <w:bookmarkEnd w:id="132"/>
      <w:bookmarkEnd w:id="133"/>
      <w:r>
        <w:rPr>
          <w:rFonts w:hint="eastAsia"/>
          <w:color w:val="auto"/>
          <w:highlight w:val="none"/>
        </w:rPr>
        <w:t>政府采购合同</w:t>
      </w:r>
      <w:r>
        <w:rPr>
          <w:rFonts w:hint="eastAsia"/>
          <w:color w:val="auto"/>
          <w:highlight w:val="none"/>
          <w:lang w:eastAsia="zh-CN"/>
        </w:rPr>
        <w:t>（</w:t>
      </w:r>
      <w:r>
        <w:rPr>
          <w:rFonts w:hint="eastAsia"/>
          <w:color w:val="auto"/>
          <w:highlight w:val="none"/>
          <w:lang w:val="en-US" w:eastAsia="zh-CN"/>
        </w:rPr>
        <w:t>样例</w:t>
      </w:r>
      <w:r>
        <w:rPr>
          <w:rFonts w:hint="eastAsia"/>
          <w:color w:val="auto"/>
          <w:highlight w:val="none"/>
          <w:lang w:eastAsia="zh-CN"/>
        </w:rPr>
        <w:t>）</w:t>
      </w:r>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4" w:name="_Toc3861"/>
      <w:bookmarkStart w:id="135" w:name="_Toc6103"/>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3"/>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keepNext w:val="0"/>
        <w:keepLines w:val="0"/>
        <w:pageBreakBefore w:val="0"/>
        <w:widowControl w:val="0"/>
        <w:kinsoku/>
        <w:wordWrap/>
        <w:overflowPunct/>
        <w:topLinePunct w:val="0"/>
        <w:autoSpaceDE/>
        <w:autoSpaceDN/>
        <w:bidi w:val="0"/>
        <w:spacing w:line="360" w:lineRule="auto"/>
        <w:ind w:left="426" w:firstLine="480" w:firstLineChars="200"/>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keepNext w:val="0"/>
        <w:keepLines w:val="0"/>
        <w:pageBreakBefore w:val="0"/>
        <w:widowControl w:val="0"/>
        <w:kinsoku/>
        <w:wordWrap/>
        <w:overflowPunct/>
        <w:topLinePunct w:val="0"/>
        <w:autoSpaceDE/>
        <w:autoSpaceDN/>
        <w:bidi w:val="0"/>
        <w:spacing w:line="360" w:lineRule="auto"/>
        <w:ind w:left="6"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w:t>
      </w:r>
      <w:r>
        <w:rPr>
          <w:rFonts w:hint="eastAsia" w:asciiTheme="minorEastAsia" w:hAnsiTheme="minorEastAsia" w:cstheme="minorEastAsia"/>
          <w:bCs/>
          <w:color w:val="auto"/>
          <w:sz w:val="24"/>
          <w:highlight w:val="none"/>
          <w:lang w:eastAsia="zh-CN"/>
        </w:rPr>
        <w:t>的</w:t>
      </w:r>
      <w:r>
        <w:rPr>
          <w:rFonts w:hint="eastAsia" w:asciiTheme="minorEastAsia" w:hAnsiTheme="minorEastAsia" w:cstheme="minorEastAsia"/>
          <w:bCs/>
          <w:color w:val="auto"/>
          <w:sz w:val="24"/>
          <w:highlight w:val="none"/>
        </w:rPr>
        <w:t>款额向甲方偿付赔偿金，并须全额退还甲方已经付给乙方的服务款及其利息。</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甲方有权依据双方签订的考评办法对乙方提供的服务进行定期考评。当考评结果未达到标准时，有权依据考评办法约定的数额扣除。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负责检查监督乙方管理工作的实施及制度的执行情况。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根据本合同规定，按时向乙方支付应付服务费用。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国家法律、法规所规定由甲方承担的其它责任。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及时向甲方通告本项目服务范围内有关服务的重大事项。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bCs/>
          <w:color w:val="auto"/>
          <w:sz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国家法律、法规所规定由乙方承担的其它责任。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如因乙方工作人员在履行职务过程</w:t>
      </w:r>
      <w:r>
        <w:rPr>
          <w:rFonts w:hint="eastAsia" w:asciiTheme="minorEastAsia" w:hAnsiTheme="minorEastAsia" w:cstheme="minorEastAsia"/>
          <w:bCs/>
          <w:color w:val="auto"/>
          <w:sz w:val="24"/>
          <w:highlight w:val="none"/>
          <w:lang w:eastAsia="zh-CN"/>
        </w:rPr>
        <w:t>中的</w:t>
      </w:r>
      <w:r>
        <w:rPr>
          <w:rFonts w:hint="eastAsia" w:asciiTheme="minorEastAsia" w:hAnsiTheme="minorEastAsia" w:cstheme="minorEastAsia"/>
          <w:bCs/>
          <w:color w:val="auto"/>
          <w:sz w:val="24"/>
          <w:highlight w:val="none"/>
        </w:rPr>
        <w:t>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不可抗力事件延续天以上，双方应通过友好协商，确定是否继续履行合同。</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bookmarkStart w:id="136" w:name="_Toc212019599"/>
      <w:bookmarkStart w:id="137" w:name="_Toc239568423"/>
      <w:bookmarkStart w:id="138" w:name="_Toc286993792"/>
      <w:bookmarkStart w:id="139" w:name="_Toc247334846"/>
      <w:bookmarkStart w:id="140" w:name="_Toc225670756"/>
      <w:bookmarkStart w:id="141" w:name="_Toc185395254"/>
      <w:bookmarkStart w:id="142" w:name="_Toc241833908"/>
      <w:bookmarkStart w:id="143" w:name="_Toc238984980"/>
      <w:bookmarkStart w:id="144" w:name="_Toc225244857"/>
      <w:bookmarkStart w:id="145" w:name="_Toc225654649"/>
      <w:bookmarkStart w:id="146" w:name="_Toc211854454"/>
      <w:bookmarkStart w:id="147" w:name="_Toc232492933"/>
      <w:bookmarkStart w:id="148" w:name="_Toc211911353"/>
      <w:bookmarkStart w:id="149" w:name="_Toc251768867"/>
      <w:bookmarkStart w:id="150" w:name="_Toc237145411"/>
      <w:bookmarkStart w:id="151" w:name="_Toc239233919"/>
      <w:r>
        <w:rPr>
          <w:rFonts w:hint="eastAsia" w:asciiTheme="minorEastAsia" w:hAnsiTheme="minorEastAsia" w:cstheme="minorEastAsia"/>
          <w:b/>
          <w:color w:val="auto"/>
          <w:sz w:val="24"/>
          <w:highlight w:val="none"/>
        </w:rPr>
        <w:t>十一、解决合同纠纷的方式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spacing w:line="360" w:lineRule="auto"/>
        <w:ind w:firstLine="480" w:firstLineChars="200"/>
        <w:rPr>
          <w:rFonts w:asciiTheme="minorEastAsia" w:hAnsiTheme="minorEastAsia" w:cstheme="minorEastAsia"/>
          <w:bCs/>
          <w:color w:val="auto"/>
          <w:sz w:val="24"/>
          <w:highlight w:val="none"/>
        </w:rPr>
      </w:pPr>
      <w:bookmarkStart w:id="152" w:name="_Toc286993793"/>
      <w:bookmarkStart w:id="153" w:name="_Toc232492934"/>
      <w:bookmarkStart w:id="154" w:name="_Toc241833909"/>
      <w:bookmarkStart w:id="155" w:name="_Toc185395255"/>
      <w:bookmarkStart w:id="156" w:name="_Toc237145412"/>
      <w:bookmarkStart w:id="157" w:name="_Toc247334847"/>
      <w:bookmarkStart w:id="158" w:name="_Toc251768868"/>
      <w:bookmarkStart w:id="159" w:name="_Toc282696231"/>
      <w:bookmarkStart w:id="160" w:name="_Toc211854455"/>
      <w:bookmarkStart w:id="161" w:name="_Toc211911354"/>
      <w:bookmarkStart w:id="162" w:name="_Toc239568424"/>
      <w:bookmarkStart w:id="163" w:name="_Toc212019600"/>
      <w:bookmarkStart w:id="164" w:name="_Toc225670757"/>
      <w:bookmarkStart w:id="165" w:name="_Toc225244858"/>
      <w:bookmarkStart w:id="166" w:name="_Toc225654650"/>
      <w:bookmarkStart w:id="167" w:name="_Toc239233920"/>
      <w:bookmarkStart w:id="168" w:name="_Toc283019219"/>
      <w:bookmarkStart w:id="169" w:name="_Toc238984981"/>
      <w:r>
        <w:rPr>
          <w:rFonts w:asciiTheme="minorEastAsia" w:hAnsiTheme="minorEastAsia" w:cstheme="minorEastAsia"/>
          <w:bCs/>
          <w:color w:val="auto"/>
          <w:sz w:val="24"/>
          <w:highlight w:val="none"/>
        </w:rPr>
        <w:t>合同履行期间</w:t>
      </w:r>
      <w:r>
        <w:rPr>
          <w:rFonts w:hint="eastAsia" w:asciiTheme="minorEastAsia" w:hAnsiTheme="minorEastAsia" w:cstheme="minorEastAsia"/>
          <w:bCs/>
          <w:color w:val="auto"/>
          <w:sz w:val="24"/>
          <w:highlight w:val="none"/>
          <w:lang w:eastAsia="zh-CN"/>
        </w:rPr>
        <w:t>，</w:t>
      </w:r>
      <w:r>
        <w:rPr>
          <w:rFonts w:asciiTheme="minorEastAsia" w:hAnsiTheme="minorEastAsia" w:cstheme="minorEastAsia"/>
          <w:bCs/>
          <w:color w:val="auto"/>
          <w:sz w:val="24"/>
          <w:highlight w:val="none"/>
        </w:rPr>
        <w:t>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Theme="minorEastAsia" w:hAnsiTheme="minorEastAsia" w:cstheme="minorEastAsia"/>
          <w:b/>
          <w:color w:val="auto"/>
          <w:sz w:val="24"/>
          <w:highlight w:val="none"/>
        </w:rPr>
        <w:t>其他</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合同经双方法定代表人或授权委托代理人签字并加盖单位公章后生效。</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合同执行中涉及采购资金和采购内容修改或补充的，须经政府采购监管部门审批，并</w:t>
      </w:r>
      <w:r>
        <w:rPr>
          <w:rFonts w:hint="eastAsia" w:asciiTheme="minorEastAsia" w:hAnsiTheme="minorEastAsia" w:cstheme="minorEastAsia"/>
          <w:color w:val="auto"/>
          <w:sz w:val="24"/>
          <w:highlight w:val="none"/>
          <w:lang w:eastAsia="zh-CN"/>
        </w:rPr>
        <w:t>签订</w:t>
      </w:r>
      <w:r>
        <w:rPr>
          <w:rFonts w:asciiTheme="minorEastAsia" w:hAnsiTheme="minorEastAsia" w:cstheme="minorEastAsia"/>
          <w:color w:val="auto"/>
          <w:sz w:val="24"/>
          <w:highlight w:val="none"/>
        </w:rPr>
        <w:t>书面补充协议报政府采购监督管理部门备案，方可作为主合同不可分割的一部分。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本合同一式    份，甲方    份，乙方    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21"/>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4"/>
    <w:bookmarkEnd w:id="135"/>
    <w:p>
      <w:pPr>
        <w:pStyle w:val="4"/>
        <w:spacing w:line="400" w:lineRule="exact"/>
        <w:jc w:val="center"/>
        <w:rPr>
          <w:rFonts w:hint="eastAsia" w:ascii="宋体" w:hAnsi="宋体" w:eastAsia="宋体" w:cs="宋体"/>
          <w:color w:val="auto"/>
          <w:sz w:val="36"/>
          <w:szCs w:val="36"/>
          <w:highlight w:val="none"/>
          <w:lang w:eastAsia="zh-CN"/>
        </w:rPr>
      </w:pPr>
      <w:bookmarkStart w:id="170" w:name="_Toc22591"/>
      <w:bookmarkStart w:id="171" w:name="_Toc1488"/>
      <w:bookmarkStart w:id="172" w:name="_Toc14834"/>
      <w:bookmarkStart w:id="173" w:name="_Toc19345"/>
      <w:bookmarkStart w:id="174" w:name="_Toc375"/>
      <w:bookmarkStart w:id="175" w:name="_Toc17860"/>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一 </w:t>
      </w:r>
      <w:r>
        <w:rPr>
          <w:rFonts w:hint="eastAsia" w:ascii="宋体" w:hAnsi="宋体" w:eastAsia="宋体" w:cs="宋体"/>
          <w:color w:val="auto"/>
          <w:sz w:val="36"/>
          <w:szCs w:val="36"/>
          <w:highlight w:val="none"/>
          <w:lang w:eastAsia="zh-CN"/>
        </w:rPr>
        <w:t>报名登记表</w:t>
      </w:r>
      <w:bookmarkEnd w:id="170"/>
      <w:bookmarkEnd w:id="171"/>
      <w:bookmarkEnd w:id="172"/>
      <w:bookmarkEnd w:id="173"/>
      <w:bookmarkEnd w:id="174"/>
      <w:bookmarkEnd w:id="175"/>
    </w:p>
    <w:tbl>
      <w:tblPr>
        <w:tblStyle w:val="24"/>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、报名时供应商需将以下资料（整理成PDF）发送至邮箱  xxxxxxx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④转账截图</w:t>
            </w:r>
          </w:p>
          <w:p>
            <w:pPr>
              <w:pStyle w:val="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pPr>
              <w:pStyle w:val="3"/>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⑤邮件正文内容请备注：</w:t>
            </w:r>
          </w:p>
          <w:p>
            <w:pPr>
              <w:pStyle w:val="33"/>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pPr>
              <w:pStyle w:val="33"/>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pPr>
              <w:pStyle w:val="33"/>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pPr>
              <w:pStyle w:val="33"/>
              <w:ind w:firstLine="480" w:firstLineChars="200"/>
              <w:jc w:val="both"/>
              <w:rPr>
                <w:rFonts w:hint="default"/>
                <w:color w:val="auto"/>
                <w:kern w:val="0"/>
                <w:highlight w:val="none"/>
                <w:lang w:val="en-US" w:eastAsia="zh-CN"/>
              </w:rPr>
            </w:pPr>
            <w:r>
              <w:rPr>
                <w:rFonts w:hint="eastAsia"/>
                <w:color w:val="auto"/>
                <w:kern w:val="0"/>
                <w:highlight w:val="none"/>
                <w:lang w:val="en-US" w:eastAsia="zh-CN"/>
              </w:rPr>
              <w:t>联系邮箱：XXXXX</w:t>
            </w:r>
          </w:p>
          <w:p>
            <w:pPr>
              <w:spacing w:line="360" w:lineRule="auto"/>
              <w:jc w:val="both"/>
              <w:rPr>
                <w:rFonts w:hint="eastAsia" w:ascii="黑体" w:hAnsi="黑体" w:eastAsia="黑体" w:cs="黑体"/>
                <w:color w:val="auto"/>
                <w:sz w:val="24"/>
                <w:szCs w:val="24"/>
                <w:highlight w:val="none"/>
                <w:lang w:val="en-US" w:eastAsia="zh-CN"/>
              </w:rPr>
            </w:pPr>
          </w:p>
          <w:p>
            <w:pPr>
              <w:numPr>
                <w:ilvl w:val="0"/>
                <w:numId w:val="7"/>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pPr>
              <w:pStyle w:val="39"/>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黑体" w:hAnsi="黑体" w:eastAsia="黑体" w:cs="黑体"/>
                <w:b/>
                <w:bCs/>
                <w:color w:val="auto"/>
                <w:sz w:val="24"/>
                <w:szCs w:val="24"/>
                <w:highlight w:val="none"/>
                <w:lang w:val="en-US" w:eastAsia="zh-CN"/>
              </w:rPr>
              <w:t xml:space="preserve"> xxxxxxx</w:t>
            </w:r>
          </w:p>
          <w:p>
            <w:pPr>
              <w:pStyle w:val="3"/>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黑体" w:hAnsi="黑体" w:eastAsia="黑体" w:cs="黑体"/>
                <w:b/>
                <w:bCs/>
                <w:color w:val="auto"/>
                <w:sz w:val="24"/>
                <w:szCs w:val="24"/>
                <w:highlight w:val="none"/>
                <w:lang w:val="en-US" w:eastAsia="zh-CN"/>
              </w:rPr>
              <w:t xml:space="preserve"> 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76" w:name="_Toc19047"/>
      <w:bookmarkStart w:id="177" w:name="_Toc4260"/>
      <w:bookmarkStart w:id="178" w:name="_Toc103"/>
      <w:bookmarkStart w:id="179" w:name="_Toc9917"/>
      <w:bookmarkStart w:id="180" w:name="_Toc11816"/>
      <w:bookmarkStart w:id="181" w:name="_Toc27103"/>
      <w:bookmarkStart w:id="182" w:name="_Toc32746_WPSOffice_Level1"/>
      <w:r>
        <w:rPr>
          <w:rFonts w:hint="eastAsia"/>
          <w:color w:val="auto"/>
          <w:spacing w:val="4"/>
          <w:highlight w:val="none"/>
          <w:lang w:eastAsia="zh-CN"/>
        </w:rPr>
        <w:br w:type="page"/>
      </w:r>
      <w:bookmarkStart w:id="183" w:name="_Toc14106"/>
      <w:bookmarkStart w:id="184" w:name="_Toc4620"/>
      <w:bookmarkStart w:id="185" w:name="_Toc15320"/>
      <w:r>
        <w:rPr>
          <w:rFonts w:hint="eastAsia" w:ascii="宋体" w:hAnsi="宋体" w:eastAsia="宋体" w:cs="宋体"/>
          <w:b/>
          <w:bCs/>
          <w:color w:val="auto"/>
          <w:kern w:val="44"/>
          <w:sz w:val="36"/>
          <w:szCs w:val="36"/>
          <w:highlight w:val="none"/>
          <w:lang w:val="en-US" w:eastAsia="zh-CN" w:bidi="ar-SA"/>
        </w:rPr>
        <w:t>附件二 介绍信</w:t>
      </w:r>
      <w:bookmarkEnd w:id="183"/>
      <w:bookmarkEnd w:id="184"/>
      <w:bookmarkEnd w:id="185"/>
    </w:p>
    <w:p>
      <w:pPr>
        <w:spacing w:line="480" w:lineRule="auto"/>
        <w:ind w:left="0" w:leftChars="0" w:firstLine="0" w:firstLineChars="0"/>
        <w:jc w:val="left"/>
        <w:rPr>
          <w:rFonts w:hint="eastAsia" w:ascii="宋体" w:hAnsi="宋体" w:eastAsia="宋体"/>
          <w:b/>
          <w:bCs/>
          <w:color w:val="auto"/>
          <w:sz w:val="28"/>
          <w:szCs w:val="28"/>
          <w:highlight w:val="none"/>
          <w:lang w:eastAsia="zh-CN"/>
        </w:rPr>
      </w:pPr>
    </w:p>
    <w:p>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黑体" w:hAnsi="黑体" w:eastAsia="黑体" w:cs="黑体"/>
          <w:b/>
          <w:bCs/>
          <w:color w:val="auto"/>
          <w:sz w:val="24"/>
          <w:szCs w:val="24"/>
          <w:highlight w:val="none"/>
          <w:lang w:val="en-US" w:eastAsia="zh-CN"/>
        </w:rPr>
        <w:t xml:space="preserve"> xxxxxxx (采购人名称)</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 xml:space="preserve"> （报名事宜/领取中标通知书事宜）</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pPr>
        <w:spacing w:line="360" w:lineRule="auto"/>
        <w:rPr>
          <w:rFonts w:hint="eastAsia" w:ascii="宋体" w:hAnsi="宋体" w:eastAsia="宋体" w:cs="宋体"/>
          <w:color w:val="auto"/>
          <w:sz w:val="28"/>
          <w:szCs w:val="28"/>
          <w:highlight w:val="none"/>
          <w:lang w:val="en-US" w:eastAsia="zh-CN"/>
        </w:rPr>
      </w:pPr>
    </w:p>
    <w:p>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pPr>
        <w:spacing w:line="360" w:lineRule="auto"/>
        <w:jc w:val="right"/>
        <w:rPr>
          <w:rFonts w:hint="eastAsia" w:ascii="宋体" w:hAnsi="宋体" w:eastAsia="宋体" w:cs="宋体"/>
          <w:b/>
          <w:bCs/>
          <w:color w:val="auto"/>
          <w:sz w:val="28"/>
          <w:szCs w:val="28"/>
          <w:highlight w:val="none"/>
          <w:u w:val="single"/>
        </w:rPr>
      </w:pPr>
    </w:p>
    <w:p>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pPr>
        <w:spacing w:line="360" w:lineRule="auto"/>
        <w:rPr>
          <w:rFonts w:hint="default" w:ascii="宋体" w:hAnsi="宋体" w:eastAsia="宋体" w:cs="宋体"/>
          <w:color w:val="auto"/>
          <w:sz w:val="28"/>
          <w:szCs w:val="28"/>
          <w:highlight w:val="none"/>
          <w:lang w:val="en-US" w:eastAsia="zh-CN"/>
        </w:rPr>
      </w:pPr>
    </w:p>
    <w:p>
      <w:pPr>
        <w:spacing w:line="360" w:lineRule="auto"/>
        <w:ind w:firstLine="480"/>
        <w:rPr>
          <w:rFonts w:hint="default" w:ascii="宋体" w:hAnsi="宋体" w:eastAsia="宋体" w:cs="宋体"/>
          <w:color w:val="auto"/>
          <w:sz w:val="28"/>
          <w:szCs w:val="28"/>
          <w:highlight w:val="none"/>
          <w:lang w:val="en-US" w:eastAsia="zh-CN"/>
        </w:rPr>
      </w:pPr>
    </w:p>
    <w:p>
      <w:pPr>
        <w:spacing w:line="360" w:lineRule="auto"/>
        <w:ind w:firstLine="4760" w:firstLineChars="1700"/>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pPr>
        <w:jc w:val="right"/>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2025年XX月XXX日</w:t>
      </w:r>
    </w:p>
    <w:p>
      <w:pPr>
        <w:rPr>
          <w:rFonts w:hint="eastAsia"/>
          <w:color w:val="auto"/>
          <w:spacing w:val="4"/>
          <w:highlight w:val="none"/>
          <w:lang w:eastAsia="zh-CN"/>
        </w:rPr>
      </w:pPr>
      <w:r>
        <w:rPr>
          <w:rFonts w:hint="eastAsia"/>
          <w:color w:val="auto"/>
          <w:spacing w:val="4"/>
          <w:highlight w:val="none"/>
          <w:lang w:eastAsia="zh-CN"/>
        </w:rPr>
        <w:br w:type="page"/>
      </w:r>
    </w:p>
    <w:bookmarkEnd w:id="176"/>
    <w:bookmarkEnd w:id="177"/>
    <w:bookmarkEnd w:id="178"/>
    <w:bookmarkEnd w:id="179"/>
    <w:bookmarkEnd w:id="180"/>
    <w:bookmarkEnd w:id="181"/>
    <w:bookmarkEnd w:id="182"/>
    <w:p>
      <w:pPr>
        <w:bidi w:val="0"/>
        <w:rPr>
          <w:rFonts w:hint="eastAsia" w:ascii="宋体" w:hAnsi="宋体" w:eastAsia="宋体" w:cs="宋体"/>
          <w:color w:val="auto"/>
          <w:sz w:val="28"/>
          <w:szCs w:val="28"/>
          <w:highlight w:val="none"/>
        </w:rPr>
      </w:pPr>
    </w:p>
    <w:p>
      <w:pPr>
        <w:pStyle w:val="4"/>
        <w:spacing w:line="400" w:lineRule="exact"/>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r>
        <w:rPr>
          <w:rFonts w:hint="eastAsia" w:ascii="宋体" w:hAnsi="宋体" w:eastAsia="宋体" w:cs="宋体"/>
          <w:color w:val="auto"/>
          <w:sz w:val="36"/>
          <w:szCs w:val="36"/>
          <w:highlight w:val="none"/>
          <w:lang w:eastAsia="zh-CN"/>
        </w:rPr>
        <w:t>中小企业划分标准</w:t>
      </w:r>
    </w:p>
    <w:p>
      <w:pPr>
        <w:pStyle w:val="39"/>
        <w:spacing w:line="240" w:lineRule="auto"/>
        <w:rPr>
          <w:rFonts w:hint="eastAsia"/>
          <w:color w:val="auto"/>
          <w:highlight w:val="none"/>
          <w:lang w:eastAsia="zh-CN"/>
        </w:rPr>
      </w:pPr>
    </w:p>
    <w:p>
      <w:pPr>
        <w:pStyle w:val="39"/>
        <w:spacing w:line="240" w:lineRule="auto"/>
        <w:rPr>
          <w:rFonts w:hint="eastAsia"/>
          <w:color w:val="auto"/>
          <w:highlight w:val="none"/>
          <w:lang w:eastAsia="zh-CN"/>
        </w:rPr>
      </w:pPr>
      <w:r>
        <w:rPr>
          <w:rFonts w:hint="eastAsia"/>
          <w:color w:val="auto"/>
          <w:lang w:val="en-US" w:eastAsia="zh-CN"/>
        </w:rPr>
        <w:t xml:space="preserve">   </w:t>
      </w:r>
      <w:r>
        <w:rPr>
          <w:color w:val="auto"/>
        </w:rPr>
        <w:drawing>
          <wp:inline distT="0" distB="0" distL="114300" distR="114300">
            <wp:extent cx="5688330" cy="6505575"/>
            <wp:effectExtent l="0" t="0" r="7620" b="952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8"/>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Eʩ">
    <w:altName w:val="汉仪新人文宋简"/>
    <w:panose1 w:val="00000000000000000000"/>
    <w:charset w:val="00"/>
    <w:family w:val="auto"/>
    <w:pitch w:val="default"/>
    <w:sig w:usb0="00000000" w:usb1="00000000" w:usb2="00000000" w:usb3="00000000" w:csb0="00040001" w:csb1="00000000"/>
  </w:font>
  <w:font w:name="PMingLiU">
    <w:altName w:val="文泉驿微米黑"/>
    <w:panose1 w:val="02020500000000000000"/>
    <w:charset w:val="88"/>
    <w:family w:val="roman"/>
    <w:pitch w:val="default"/>
    <w:sig w:usb0="00000000" w:usb1="00000000" w:usb2="00000016" w:usb3="00000000" w:csb0="00100001"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方正书宋简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文泉驿微米黑">
    <w:panose1 w:val="020B0606030804020204"/>
    <w:charset w:val="86"/>
    <w:family w:val="auto"/>
    <w:pitch w:val="default"/>
    <w:sig w:usb0="E10002EF" w:usb1="6BDFFCFB" w:usb2="00800036" w:usb3="00000000" w:csb0="603E019F" w:csb1="DFD70000"/>
  </w:font>
  <w:font w:name="方正书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 xml:space="preserve"> </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JNLdIwIAADk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Dkk0t0jAgAAOQQAAA4AAAAAAAAAAQAgAAAANQEAAGRycy9lMm9Eb2Mu&#10;eG1sUEsFBgAAAAAGAAYAWQEAAMo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19B84680"/>
    <w:multiLevelType w:val="singleLevel"/>
    <w:tmpl w:val="19B84680"/>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5BE92F"/>
    <w:multiLevelType w:val="singleLevel"/>
    <w:tmpl w:val="575BE92F"/>
    <w:lvl w:ilvl="0" w:tentative="0">
      <w:start w:val="6"/>
      <w:numFmt w:val="chineseCounting"/>
      <w:suff w:val="space"/>
      <w:lvlText w:val="第%1章"/>
      <w:lvlJc w:val="left"/>
    </w:lvl>
  </w:abstractNum>
  <w:abstractNum w:abstractNumId="4">
    <w:nsid w:val="59FAC499"/>
    <w:multiLevelType w:val="singleLevel"/>
    <w:tmpl w:val="59FAC499"/>
    <w:lvl w:ilvl="0" w:tentative="0">
      <w:start w:val="1"/>
      <w:numFmt w:val="chineseCounting"/>
      <w:suff w:val="nothing"/>
      <w:lvlText w:val="%1、"/>
      <w:lvlJc w:val="left"/>
    </w:lvl>
  </w:abstractNum>
  <w:abstractNum w:abstractNumId="5">
    <w:nsid w:val="59FAC4C6"/>
    <w:multiLevelType w:val="singleLevel"/>
    <w:tmpl w:val="59FAC4C6"/>
    <w:lvl w:ilvl="0" w:tentative="0">
      <w:start w:val="1"/>
      <w:numFmt w:val="chineseCounting"/>
      <w:suff w:val="nothing"/>
      <w:lvlText w:val="%1、"/>
      <w:lvlJc w:val="left"/>
    </w:lvl>
  </w:abstractNum>
  <w:abstractNum w:abstractNumId="6">
    <w:nsid w:val="5ACD2ABC"/>
    <w:multiLevelType w:val="singleLevel"/>
    <w:tmpl w:val="5ACD2ABC"/>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mI4OWY1YmNlMGJlMDIyN2ExYjNkYmYwN2JjZjQifQ=="/>
  </w:docVars>
  <w:rsids>
    <w:rsidRoot w:val="528A0347"/>
    <w:rsid w:val="000572DB"/>
    <w:rsid w:val="0008232D"/>
    <w:rsid w:val="004E0680"/>
    <w:rsid w:val="0093532E"/>
    <w:rsid w:val="00E24400"/>
    <w:rsid w:val="00EC3934"/>
    <w:rsid w:val="00FE17AF"/>
    <w:rsid w:val="01365727"/>
    <w:rsid w:val="017C0434"/>
    <w:rsid w:val="019878A2"/>
    <w:rsid w:val="01C11FAD"/>
    <w:rsid w:val="02353133"/>
    <w:rsid w:val="02583EA6"/>
    <w:rsid w:val="02873592"/>
    <w:rsid w:val="03174412"/>
    <w:rsid w:val="038D4638"/>
    <w:rsid w:val="03C063C1"/>
    <w:rsid w:val="03E06A00"/>
    <w:rsid w:val="043308F5"/>
    <w:rsid w:val="04652461"/>
    <w:rsid w:val="04CE1AC6"/>
    <w:rsid w:val="04FB0376"/>
    <w:rsid w:val="05003375"/>
    <w:rsid w:val="051D2F02"/>
    <w:rsid w:val="0520663A"/>
    <w:rsid w:val="05221751"/>
    <w:rsid w:val="05793E7D"/>
    <w:rsid w:val="05DD2887"/>
    <w:rsid w:val="068517FF"/>
    <w:rsid w:val="068D2EFE"/>
    <w:rsid w:val="069C6430"/>
    <w:rsid w:val="06AE71AB"/>
    <w:rsid w:val="06C6647D"/>
    <w:rsid w:val="072E4CFB"/>
    <w:rsid w:val="07646AA2"/>
    <w:rsid w:val="07776902"/>
    <w:rsid w:val="079C4CB3"/>
    <w:rsid w:val="07B105CD"/>
    <w:rsid w:val="07BF1EFE"/>
    <w:rsid w:val="07CC2CA2"/>
    <w:rsid w:val="07F90FE2"/>
    <w:rsid w:val="08481B56"/>
    <w:rsid w:val="08BF0E59"/>
    <w:rsid w:val="08D72C64"/>
    <w:rsid w:val="0976370F"/>
    <w:rsid w:val="097E00A2"/>
    <w:rsid w:val="09974E6E"/>
    <w:rsid w:val="09A647B3"/>
    <w:rsid w:val="09C421E0"/>
    <w:rsid w:val="09C765B8"/>
    <w:rsid w:val="0A066D5F"/>
    <w:rsid w:val="0A1B41C3"/>
    <w:rsid w:val="0A757460"/>
    <w:rsid w:val="0AAD2E17"/>
    <w:rsid w:val="0AD40054"/>
    <w:rsid w:val="0B451ABF"/>
    <w:rsid w:val="0B602530"/>
    <w:rsid w:val="0B755210"/>
    <w:rsid w:val="0C5574D3"/>
    <w:rsid w:val="0C627430"/>
    <w:rsid w:val="0CD008E4"/>
    <w:rsid w:val="0D3E32A3"/>
    <w:rsid w:val="0D601719"/>
    <w:rsid w:val="0D9139DE"/>
    <w:rsid w:val="0D953D20"/>
    <w:rsid w:val="0DB601B5"/>
    <w:rsid w:val="0DEB6FDE"/>
    <w:rsid w:val="0DF4352F"/>
    <w:rsid w:val="0E1230D8"/>
    <w:rsid w:val="0E1C373F"/>
    <w:rsid w:val="0E3E4E11"/>
    <w:rsid w:val="0E43042D"/>
    <w:rsid w:val="0E4D2754"/>
    <w:rsid w:val="0E9256CA"/>
    <w:rsid w:val="0EDB0E07"/>
    <w:rsid w:val="0EEA2EB3"/>
    <w:rsid w:val="0EF645D5"/>
    <w:rsid w:val="0F2410AB"/>
    <w:rsid w:val="0F511654"/>
    <w:rsid w:val="0F7D2AD6"/>
    <w:rsid w:val="0FA94019"/>
    <w:rsid w:val="0FE13C8C"/>
    <w:rsid w:val="0FEC4707"/>
    <w:rsid w:val="10337117"/>
    <w:rsid w:val="103E20DF"/>
    <w:rsid w:val="106C2FBC"/>
    <w:rsid w:val="10B9753A"/>
    <w:rsid w:val="10E44E55"/>
    <w:rsid w:val="10E613D9"/>
    <w:rsid w:val="10EC2060"/>
    <w:rsid w:val="10FB02F8"/>
    <w:rsid w:val="11384FA9"/>
    <w:rsid w:val="11514EC5"/>
    <w:rsid w:val="11552D14"/>
    <w:rsid w:val="118F095B"/>
    <w:rsid w:val="11AD2612"/>
    <w:rsid w:val="11D32CA8"/>
    <w:rsid w:val="11FB06BF"/>
    <w:rsid w:val="12202CBA"/>
    <w:rsid w:val="123F2FBB"/>
    <w:rsid w:val="129A0FDE"/>
    <w:rsid w:val="12AC5D1F"/>
    <w:rsid w:val="12AF022C"/>
    <w:rsid w:val="12B30EE2"/>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237EA"/>
    <w:rsid w:val="153609DA"/>
    <w:rsid w:val="15390719"/>
    <w:rsid w:val="15503929"/>
    <w:rsid w:val="15537580"/>
    <w:rsid w:val="159F2443"/>
    <w:rsid w:val="15A502B1"/>
    <w:rsid w:val="15D75E4D"/>
    <w:rsid w:val="16205E96"/>
    <w:rsid w:val="16457F30"/>
    <w:rsid w:val="16491AF0"/>
    <w:rsid w:val="16B73CA4"/>
    <w:rsid w:val="17000A45"/>
    <w:rsid w:val="17025538"/>
    <w:rsid w:val="174C678D"/>
    <w:rsid w:val="179E79C0"/>
    <w:rsid w:val="17FB1DEC"/>
    <w:rsid w:val="184009E9"/>
    <w:rsid w:val="196271C3"/>
    <w:rsid w:val="197C194C"/>
    <w:rsid w:val="199366BA"/>
    <w:rsid w:val="19DA5415"/>
    <w:rsid w:val="1A590C4C"/>
    <w:rsid w:val="1A696EB6"/>
    <w:rsid w:val="1A840BF5"/>
    <w:rsid w:val="1AA309B6"/>
    <w:rsid w:val="1ADE7895"/>
    <w:rsid w:val="1B040EED"/>
    <w:rsid w:val="1B096797"/>
    <w:rsid w:val="1B12287D"/>
    <w:rsid w:val="1BBA2FB9"/>
    <w:rsid w:val="1C2A0408"/>
    <w:rsid w:val="1C49269A"/>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1B7B34"/>
    <w:rsid w:val="1F21067A"/>
    <w:rsid w:val="1F2C73C2"/>
    <w:rsid w:val="1F4B33AE"/>
    <w:rsid w:val="1F4D4C0B"/>
    <w:rsid w:val="1F5A5189"/>
    <w:rsid w:val="1F965DCE"/>
    <w:rsid w:val="1FCF744F"/>
    <w:rsid w:val="203C39B2"/>
    <w:rsid w:val="205E2448"/>
    <w:rsid w:val="206B2911"/>
    <w:rsid w:val="206F146B"/>
    <w:rsid w:val="20754355"/>
    <w:rsid w:val="209C5197"/>
    <w:rsid w:val="20A1192E"/>
    <w:rsid w:val="20F67B19"/>
    <w:rsid w:val="21E0714D"/>
    <w:rsid w:val="21E7439F"/>
    <w:rsid w:val="21F25E85"/>
    <w:rsid w:val="22162A4D"/>
    <w:rsid w:val="22405159"/>
    <w:rsid w:val="22880877"/>
    <w:rsid w:val="22C9287E"/>
    <w:rsid w:val="22ED3EA8"/>
    <w:rsid w:val="23104318"/>
    <w:rsid w:val="23461C94"/>
    <w:rsid w:val="238049A3"/>
    <w:rsid w:val="23B16CD9"/>
    <w:rsid w:val="23EF2CE3"/>
    <w:rsid w:val="240129CD"/>
    <w:rsid w:val="240C48AD"/>
    <w:rsid w:val="2449787D"/>
    <w:rsid w:val="246A1948"/>
    <w:rsid w:val="2498107D"/>
    <w:rsid w:val="24B9773C"/>
    <w:rsid w:val="24DF205D"/>
    <w:rsid w:val="250C4514"/>
    <w:rsid w:val="25DC3647"/>
    <w:rsid w:val="270A2296"/>
    <w:rsid w:val="272252D5"/>
    <w:rsid w:val="278B3ED2"/>
    <w:rsid w:val="27BC7E95"/>
    <w:rsid w:val="27BD574E"/>
    <w:rsid w:val="27BF0F20"/>
    <w:rsid w:val="27DC2509"/>
    <w:rsid w:val="28017405"/>
    <w:rsid w:val="28086121"/>
    <w:rsid w:val="28092B19"/>
    <w:rsid w:val="28604D4E"/>
    <w:rsid w:val="28BB1AC6"/>
    <w:rsid w:val="28C927D1"/>
    <w:rsid w:val="28E35D66"/>
    <w:rsid w:val="291D0C4F"/>
    <w:rsid w:val="293F1EF6"/>
    <w:rsid w:val="29915FF5"/>
    <w:rsid w:val="29951B7D"/>
    <w:rsid w:val="29A26AE2"/>
    <w:rsid w:val="29AF3ED8"/>
    <w:rsid w:val="29BE5A96"/>
    <w:rsid w:val="2A173122"/>
    <w:rsid w:val="2A393587"/>
    <w:rsid w:val="2A425E32"/>
    <w:rsid w:val="2A4F0998"/>
    <w:rsid w:val="2AC75D3D"/>
    <w:rsid w:val="2AD53448"/>
    <w:rsid w:val="2B015F70"/>
    <w:rsid w:val="2B0C6F5D"/>
    <w:rsid w:val="2B4E6591"/>
    <w:rsid w:val="2B6A3CAE"/>
    <w:rsid w:val="2C616FC6"/>
    <w:rsid w:val="2C6C7D7B"/>
    <w:rsid w:val="2C6D6FF6"/>
    <w:rsid w:val="2C8C2729"/>
    <w:rsid w:val="2CD1529A"/>
    <w:rsid w:val="2D81051B"/>
    <w:rsid w:val="2DEF5FA0"/>
    <w:rsid w:val="2E1A7044"/>
    <w:rsid w:val="2E253AD8"/>
    <w:rsid w:val="2E2C0A38"/>
    <w:rsid w:val="2E4A56C2"/>
    <w:rsid w:val="2E6050DC"/>
    <w:rsid w:val="2E816717"/>
    <w:rsid w:val="2EA76294"/>
    <w:rsid w:val="2EC04431"/>
    <w:rsid w:val="2F0F4084"/>
    <w:rsid w:val="2F1F1925"/>
    <w:rsid w:val="2F6A55A8"/>
    <w:rsid w:val="2F6F5F6B"/>
    <w:rsid w:val="2F790E69"/>
    <w:rsid w:val="2FAE6DEC"/>
    <w:rsid w:val="2FAF0120"/>
    <w:rsid w:val="2FB259EF"/>
    <w:rsid w:val="2FBA79EF"/>
    <w:rsid w:val="2FE47521"/>
    <w:rsid w:val="2FEF143B"/>
    <w:rsid w:val="3002020A"/>
    <w:rsid w:val="30142C54"/>
    <w:rsid w:val="302A738E"/>
    <w:rsid w:val="309E034E"/>
    <w:rsid w:val="30FF519D"/>
    <w:rsid w:val="312F07F6"/>
    <w:rsid w:val="3167742D"/>
    <w:rsid w:val="326A41D4"/>
    <w:rsid w:val="326E7EAB"/>
    <w:rsid w:val="32733244"/>
    <w:rsid w:val="32EB2411"/>
    <w:rsid w:val="335A4A8C"/>
    <w:rsid w:val="33BA2663"/>
    <w:rsid w:val="33BE2E7B"/>
    <w:rsid w:val="33C26AC8"/>
    <w:rsid w:val="33C41992"/>
    <w:rsid w:val="34014301"/>
    <w:rsid w:val="342A3EA0"/>
    <w:rsid w:val="343E79CA"/>
    <w:rsid w:val="346D73F7"/>
    <w:rsid w:val="34852C17"/>
    <w:rsid w:val="350051F3"/>
    <w:rsid w:val="352A5E40"/>
    <w:rsid w:val="35344AF8"/>
    <w:rsid w:val="35520407"/>
    <w:rsid w:val="355C33AF"/>
    <w:rsid w:val="357E1275"/>
    <w:rsid w:val="35C83D66"/>
    <w:rsid w:val="35C95DA9"/>
    <w:rsid w:val="35EE2D89"/>
    <w:rsid w:val="36635AD6"/>
    <w:rsid w:val="367E6678"/>
    <w:rsid w:val="368047A3"/>
    <w:rsid w:val="368D480D"/>
    <w:rsid w:val="36A605BF"/>
    <w:rsid w:val="371E4DCD"/>
    <w:rsid w:val="37245EB7"/>
    <w:rsid w:val="372F08BB"/>
    <w:rsid w:val="375F4D57"/>
    <w:rsid w:val="37966B5F"/>
    <w:rsid w:val="379E140D"/>
    <w:rsid w:val="37A25842"/>
    <w:rsid w:val="37AD5197"/>
    <w:rsid w:val="380E708A"/>
    <w:rsid w:val="38155157"/>
    <w:rsid w:val="383B02E7"/>
    <w:rsid w:val="38B475E0"/>
    <w:rsid w:val="38D636DC"/>
    <w:rsid w:val="38E94576"/>
    <w:rsid w:val="39053AD8"/>
    <w:rsid w:val="394A707A"/>
    <w:rsid w:val="39AF680B"/>
    <w:rsid w:val="39B47A6B"/>
    <w:rsid w:val="39C351C2"/>
    <w:rsid w:val="3A1115DB"/>
    <w:rsid w:val="3A1C614D"/>
    <w:rsid w:val="3A7D336E"/>
    <w:rsid w:val="3ABC572A"/>
    <w:rsid w:val="3ADD6FFD"/>
    <w:rsid w:val="3AF826EC"/>
    <w:rsid w:val="3B121FFB"/>
    <w:rsid w:val="3B1705E5"/>
    <w:rsid w:val="3BAC1F96"/>
    <w:rsid w:val="3BB1108F"/>
    <w:rsid w:val="3BDB204C"/>
    <w:rsid w:val="3BEE4D27"/>
    <w:rsid w:val="3BF7404B"/>
    <w:rsid w:val="3C177065"/>
    <w:rsid w:val="3C1D57EB"/>
    <w:rsid w:val="3C5924B3"/>
    <w:rsid w:val="3C596709"/>
    <w:rsid w:val="3CCE5B4E"/>
    <w:rsid w:val="3CD01240"/>
    <w:rsid w:val="3D080CCD"/>
    <w:rsid w:val="3D4B7589"/>
    <w:rsid w:val="3D751C31"/>
    <w:rsid w:val="3DAD3478"/>
    <w:rsid w:val="3DBB0A5F"/>
    <w:rsid w:val="3DD83005"/>
    <w:rsid w:val="3DE02F33"/>
    <w:rsid w:val="3DE0583A"/>
    <w:rsid w:val="3DF35E63"/>
    <w:rsid w:val="3DFB0D0A"/>
    <w:rsid w:val="3E032FB2"/>
    <w:rsid w:val="3E143322"/>
    <w:rsid w:val="3E2149D7"/>
    <w:rsid w:val="3E325268"/>
    <w:rsid w:val="3E861631"/>
    <w:rsid w:val="3E9015B5"/>
    <w:rsid w:val="3EAE1496"/>
    <w:rsid w:val="3F6500C5"/>
    <w:rsid w:val="3F767793"/>
    <w:rsid w:val="3F821478"/>
    <w:rsid w:val="3FB403C6"/>
    <w:rsid w:val="3FB544AF"/>
    <w:rsid w:val="3FCC64B1"/>
    <w:rsid w:val="40093CD4"/>
    <w:rsid w:val="401C3175"/>
    <w:rsid w:val="4020536E"/>
    <w:rsid w:val="40237A8B"/>
    <w:rsid w:val="40553470"/>
    <w:rsid w:val="40697C1F"/>
    <w:rsid w:val="407D6ADC"/>
    <w:rsid w:val="40947466"/>
    <w:rsid w:val="40C00F0D"/>
    <w:rsid w:val="413D19A1"/>
    <w:rsid w:val="415D0244"/>
    <w:rsid w:val="416F738F"/>
    <w:rsid w:val="41795AD7"/>
    <w:rsid w:val="41882DA9"/>
    <w:rsid w:val="41CF2EC1"/>
    <w:rsid w:val="41E2303A"/>
    <w:rsid w:val="41E9119F"/>
    <w:rsid w:val="42076478"/>
    <w:rsid w:val="4230082E"/>
    <w:rsid w:val="423744DD"/>
    <w:rsid w:val="42576BA9"/>
    <w:rsid w:val="42996754"/>
    <w:rsid w:val="42A33DE7"/>
    <w:rsid w:val="42B61FA3"/>
    <w:rsid w:val="42F3693F"/>
    <w:rsid w:val="430D679F"/>
    <w:rsid w:val="431A1236"/>
    <w:rsid w:val="43336E53"/>
    <w:rsid w:val="438A5DDA"/>
    <w:rsid w:val="43B45E8C"/>
    <w:rsid w:val="43E72FFE"/>
    <w:rsid w:val="43FF1D68"/>
    <w:rsid w:val="445123F7"/>
    <w:rsid w:val="44CA59DA"/>
    <w:rsid w:val="44CE0696"/>
    <w:rsid w:val="44E05B88"/>
    <w:rsid w:val="45243265"/>
    <w:rsid w:val="45443D52"/>
    <w:rsid w:val="45527199"/>
    <w:rsid w:val="459B5E6F"/>
    <w:rsid w:val="45B209F1"/>
    <w:rsid w:val="45BA3459"/>
    <w:rsid w:val="45C93FC6"/>
    <w:rsid w:val="45DA374F"/>
    <w:rsid w:val="45DC1AA8"/>
    <w:rsid w:val="46000B49"/>
    <w:rsid w:val="46427576"/>
    <w:rsid w:val="469D03B1"/>
    <w:rsid w:val="46A31049"/>
    <w:rsid w:val="46B70792"/>
    <w:rsid w:val="46C52059"/>
    <w:rsid w:val="46D05FB3"/>
    <w:rsid w:val="46FD57D2"/>
    <w:rsid w:val="475B6D46"/>
    <w:rsid w:val="477A1CC4"/>
    <w:rsid w:val="4794632E"/>
    <w:rsid w:val="47B61CD8"/>
    <w:rsid w:val="47DA442E"/>
    <w:rsid w:val="48207F80"/>
    <w:rsid w:val="48491323"/>
    <w:rsid w:val="48770A79"/>
    <w:rsid w:val="48E735D2"/>
    <w:rsid w:val="48F31881"/>
    <w:rsid w:val="48FC03CA"/>
    <w:rsid w:val="49072709"/>
    <w:rsid w:val="492F19EC"/>
    <w:rsid w:val="494F5D5E"/>
    <w:rsid w:val="495434C1"/>
    <w:rsid w:val="495C447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BE34D3"/>
    <w:rsid w:val="4EC711FE"/>
    <w:rsid w:val="4EE22E7B"/>
    <w:rsid w:val="4EFE3743"/>
    <w:rsid w:val="4F2C0E74"/>
    <w:rsid w:val="4FC2275A"/>
    <w:rsid w:val="4FFD1F31"/>
    <w:rsid w:val="50655525"/>
    <w:rsid w:val="50987C24"/>
    <w:rsid w:val="50B40F56"/>
    <w:rsid w:val="50B9348B"/>
    <w:rsid w:val="510C6CD7"/>
    <w:rsid w:val="51476FDF"/>
    <w:rsid w:val="515E01BB"/>
    <w:rsid w:val="51762084"/>
    <w:rsid w:val="51851B07"/>
    <w:rsid w:val="519D50C1"/>
    <w:rsid w:val="51BD12C3"/>
    <w:rsid w:val="52271A21"/>
    <w:rsid w:val="523E4DFA"/>
    <w:rsid w:val="52511F34"/>
    <w:rsid w:val="525C3ACD"/>
    <w:rsid w:val="526454A1"/>
    <w:rsid w:val="528A0347"/>
    <w:rsid w:val="528A2886"/>
    <w:rsid w:val="528F47C2"/>
    <w:rsid w:val="52950909"/>
    <w:rsid w:val="52D35D4C"/>
    <w:rsid w:val="52E84350"/>
    <w:rsid w:val="53030DC7"/>
    <w:rsid w:val="532A5629"/>
    <w:rsid w:val="53420D95"/>
    <w:rsid w:val="5391633A"/>
    <w:rsid w:val="539D7A92"/>
    <w:rsid w:val="53B34DD5"/>
    <w:rsid w:val="53CA0C7C"/>
    <w:rsid w:val="543A6F16"/>
    <w:rsid w:val="54682360"/>
    <w:rsid w:val="54841553"/>
    <w:rsid w:val="54CF21D8"/>
    <w:rsid w:val="54E63439"/>
    <w:rsid w:val="54FE26E2"/>
    <w:rsid w:val="55437D0D"/>
    <w:rsid w:val="55703A38"/>
    <w:rsid w:val="55705E40"/>
    <w:rsid w:val="557C3B1A"/>
    <w:rsid w:val="55FE4470"/>
    <w:rsid w:val="560641D5"/>
    <w:rsid w:val="560D5CFF"/>
    <w:rsid w:val="56830AEA"/>
    <w:rsid w:val="56C8472B"/>
    <w:rsid w:val="56D8462C"/>
    <w:rsid w:val="5745772D"/>
    <w:rsid w:val="57790E97"/>
    <w:rsid w:val="581101B8"/>
    <w:rsid w:val="58404823"/>
    <w:rsid w:val="586F168C"/>
    <w:rsid w:val="58A845FF"/>
    <w:rsid w:val="58A932C4"/>
    <w:rsid w:val="58C63F3F"/>
    <w:rsid w:val="58CF38C7"/>
    <w:rsid w:val="58FF60FE"/>
    <w:rsid w:val="59112915"/>
    <w:rsid w:val="592712A8"/>
    <w:rsid w:val="594B12C0"/>
    <w:rsid w:val="59687923"/>
    <w:rsid w:val="59851222"/>
    <w:rsid w:val="59ED5EA4"/>
    <w:rsid w:val="5A714CA5"/>
    <w:rsid w:val="5A907933"/>
    <w:rsid w:val="5ABF799F"/>
    <w:rsid w:val="5AD74EFD"/>
    <w:rsid w:val="5AE34BF4"/>
    <w:rsid w:val="5AEC06E0"/>
    <w:rsid w:val="5B44790E"/>
    <w:rsid w:val="5B583B75"/>
    <w:rsid w:val="5BC2507D"/>
    <w:rsid w:val="5BC57C1A"/>
    <w:rsid w:val="5BCD6899"/>
    <w:rsid w:val="5C071D8E"/>
    <w:rsid w:val="5C143AB0"/>
    <w:rsid w:val="5C306667"/>
    <w:rsid w:val="5C3760C2"/>
    <w:rsid w:val="5C404166"/>
    <w:rsid w:val="5C567917"/>
    <w:rsid w:val="5C597BC4"/>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F0A0E0A"/>
    <w:rsid w:val="5F2E5A0A"/>
    <w:rsid w:val="5F6A41A2"/>
    <w:rsid w:val="5FB76A00"/>
    <w:rsid w:val="5FC842A3"/>
    <w:rsid w:val="5FEE461B"/>
    <w:rsid w:val="60633F94"/>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AA6DB7"/>
    <w:rsid w:val="63E02B52"/>
    <w:rsid w:val="63E05458"/>
    <w:rsid w:val="63E25F14"/>
    <w:rsid w:val="63F55432"/>
    <w:rsid w:val="641679FF"/>
    <w:rsid w:val="641F4FF2"/>
    <w:rsid w:val="64824D2E"/>
    <w:rsid w:val="648914D3"/>
    <w:rsid w:val="6496097F"/>
    <w:rsid w:val="64A305E2"/>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7862A7"/>
    <w:rsid w:val="69863AC8"/>
    <w:rsid w:val="69DD380C"/>
    <w:rsid w:val="69E240B1"/>
    <w:rsid w:val="6A0A000D"/>
    <w:rsid w:val="6A366999"/>
    <w:rsid w:val="6A395C02"/>
    <w:rsid w:val="6A993404"/>
    <w:rsid w:val="6ACE78E6"/>
    <w:rsid w:val="6AD11CF6"/>
    <w:rsid w:val="6AD311E5"/>
    <w:rsid w:val="6B106207"/>
    <w:rsid w:val="6B3B169F"/>
    <w:rsid w:val="6B4D093D"/>
    <w:rsid w:val="6B737408"/>
    <w:rsid w:val="6B9E4055"/>
    <w:rsid w:val="6BBD0670"/>
    <w:rsid w:val="6BD0013A"/>
    <w:rsid w:val="6BF67F73"/>
    <w:rsid w:val="6BFA7EBC"/>
    <w:rsid w:val="6C022D08"/>
    <w:rsid w:val="6C2C6344"/>
    <w:rsid w:val="6CB4241B"/>
    <w:rsid w:val="6CF846C9"/>
    <w:rsid w:val="6D00300F"/>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ADF213"/>
    <w:rsid w:val="6FCE1AB9"/>
    <w:rsid w:val="7051252D"/>
    <w:rsid w:val="70515FB1"/>
    <w:rsid w:val="707E1456"/>
    <w:rsid w:val="70FF268D"/>
    <w:rsid w:val="713E5D7D"/>
    <w:rsid w:val="717D5CD9"/>
    <w:rsid w:val="718467D2"/>
    <w:rsid w:val="71B2295B"/>
    <w:rsid w:val="721A69BE"/>
    <w:rsid w:val="72574356"/>
    <w:rsid w:val="72933209"/>
    <w:rsid w:val="7293605E"/>
    <w:rsid w:val="73702D37"/>
    <w:rsid w:val="738C47D0"/>
    <w:rsid w:val="73CA620C"/>
    <w:rsid w:val="740D7492"/>
    <w:rsid w:val="74621F78"/>
    <w:rsid w:val="75215015"/>
    <w:rsid w:val="754143B4"/>
    <w:rsid w:val="754E03EF"/>
    <w:rsid w:val="75705DB3"/>
    <w:rsid w:val="7572652B"/>
    <w:rsid w:val="75FF4F04"/>
    <w:rsid w:val="765426F4"/>
    <w:rsid w:val="7676051E"/>
    <w:rsid w:val="7682689F"/>
    <w:rsid w:val="768B5928"/>
    <w:rsid w:val="768D3FAD"/>
    <w:rsid w:val="769277F9"/>
    <w:rsid w:val="76B202EE"/>
    <w:rsid w:val="76D84D0C"/>
    <w:rsid w:val="76E61E34"/>
    <w:rsid w:val="77105CFD"/>
    <w:rsid w:val="77166CCC"/>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B531C"/>
    <w:rsid w:val="7A1D0EF3"/>
    <w:rsid w:val="7A207055"/>
    <w:rsid w:val="7A2349B5"/>
    <w:rsid w:val="7A2D75F1"/>
    <w:rsid w:val="7A843F55"/>
    <w:rsid w:val="7A9568FB"/>
    <w:rsid w:val="7A972630"/>
    <w:rsid w:val="7AAE42F2"/>
    <w:rsid w:val="7AB36FC1"/>
    <w:rsid w:val="7AD30AD6"/>
    <w:rsid w:val="7AD7114D"/>
    <w:rsid w:val="7AEE3904"/>
    <w:rsid w:val="7B1B1B72"/>
    <w:rsid w:val="7B44146F"/>
    <w:rsid w:val="7B4E7BA0"/>
    <w:rsid w:val="7B6C6515"/>
    <w:rsid w:val="7BA31C21"/>
    <w:rsid w:val="7BD708FF"/>
    <w:rsid w:val="7C121D39"/>
    <w:rsid w:val="7C2B4418"/>
    <w:rsid w:val="7C6C5C09"/>
    <w:rsid w:val="7C8A71C0"/>
    <w:rsid w:val="7C8B0EF9"/>
    <w:rsid w:val="7CCA0B85"/>
    <w:rsid w:val="7D8E611F"/>
    <w:rsid w:val="7DB667E5"/>
    <w:rsid w:val="7DCE03B6"/>
    <w:rsid w:val="7E04213D"/>
    <w:rsid w:val="7E0724FD"/>
    <w:rsid w:val="7E210FC1"/>
    <w:rsid w:val="7ED46B7D"/>
    <w:rsid w:val="7EE26360"/>
    <w:rsid w:val="7EF1488F"/>
    <w:rsid w:val="7F16542D"/>
    <w:rsid w:val="7F464F31"/>
    <w:rsid w:val="7F67091C"/>
    <w:rsid w:val="7F8162FD"/>
    <w:rsid w:val="7F8714B8"/>
    <w:rsid w:val="7FBECC46"/>
    <w:rsid w:val="7FCDBFB5"/>
    <w:rsid w:val="9BFB1C20"/>
    <w:rsid w:val="B8E70AAB"/>
    <w:rsid w:val="BBFBCBDA"/>
    <w:rsid w:val="BD31ABF3"/>
    <w:rsid w:val="BDDD7EA5"/>
    <w:rsid w:val="D3DFA0C2"/>
    <w:rsid w:val="DB5729A9"/>
    <w:rsid w:val="F7EF7BD4"/>
    <w:rsid w:val="FFFFD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7"/>
    <w:unhideWhenUsed/>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9">
    <w:name w:val="Normal Indent"/>
    <w:basedOn w:val="1"/>
    <w:qFormat/>
    <w:uiPriority w:val="0"/>
    <w:pPr>
      <w:ind w:firstLine="200" w:firstLineChars="200"/>
    </w:pPr>
  </w:style>
  <w:style w:type="paragraph" w:styleId="10">
    <w:name w:val="annotation text"/>
    <w:basedOn w:val="1"/>
    <w:qFormat/>
    <w:uiPriority w:val="0"/>
    <w:pPr>
      <w:jc w:val="left"/>
    </w:pPr>
  </w:style>
  <w:style w:type="paragraph" w:styleId="11">
    <w:name w:val="Body Text 3"/>
    <w:basedOn w:val="1"/>
    <w:unhideWhenUsed/>
    <w:qFormat/>
    <w:uiPriority w:val="99"/>
    <w:pPr>
      <w:jc w:val="center"/>
    </w:pPr>
    <w:rPr>
      <w:rFonts w:hint="eastAsia" w:hAnsi="Symbol"/>
      <w:sz w:val="10"/>
    </w:rPr>
  </w:style>
  <w:style w:type="paragraph" w:styleId="12">
    <w:name w:val="Body Text Indent"/>
    <w:basedOn w:val="1"/>
    <w:qFormat/>
    <w:uiPriority w:val="0"/>
    <w:pPr>
      <w:ind w:firstLine="630"/>
    </w:pPr>
    <w:rPr>
      <w:sz w:val="32"/>
      <w:szCs w:val="20"/>
    </w:rPr>
  </w:style>
  <w:style w:type="paragraph" w:styleId="13">
    <w:name w:val="Plain Text"/>
    <w:basedOn w:val="1"/>
    <w:next w:val="1"/>
    <w:qFormat/>
    <w:uiPriority w:val="0"/>
    <w:pPr>
      <w:widowControl w:val="0"/>
      <w:jc w:val="both"/>
    </w:pPr>
    <w:rPr>
      <w:rFonts w:ascii="宋体" w:hAnsi="Courier New" w:cs="Courier New"/>
      <w:kern w:val="2"/>
      <w:sz w:val="21"/>
      <w:szCs w:val="21"/>
    </w:rPr>
  </w:style>
  <w:style w:type="paragraph" w:styleId="14">
    <w:name w:val="Body Text Indent 2"/>
    <w:basedOn w:val="1"/>
    <w:qFormat/>
    <w:uiPriority w:val="0"/>
    <w:pPr>
      <w:spacing w:line="480" w:lineRule="auto"/>
      <w:ind w:left="420" w:leftChars="200"/>
    </w:pPr>
  </w:style>
  <w:style w:type="paragraph" w:styleId="15">
    <w:name w:val="Balloon Text"/>
    <w:basedOn w:val="1"/>
    <w:link w:val="6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0"/>
  </w:style>
  <w:style w:type="paragraph" w:styleId="19">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20">
    <w:name w:val="Body Text 2"/>
    <w:basedOn w:val="1"/>
    <w:next w:val="3"/>
    <w:unhideWhenUsed/>
    <w:qFormat/>
    <w:uiPriority w:val="0"/>
  </w:style>
  <w:style w:type="paragraph" w:styleId="21">
    <w:name w:val="Normal (Web)"/>
    <w:basedOn w:val="1"/>
    <w:qFormat/>
    <w:uiPriority w:val="0"/>
    <w:pPr>
      <w:widowControl/>
      <w:spacing w:before="100" w:beforeAutospacing="1" w:after="100" w:afterAutospacing="1"/>
      <w:jc w:val="left"/>
    </w:pPr>
    <w:rPr>
      <w:rFonts w:ascii="宋体"/>
      <w:kern w:val="0"/>
      <w:sz w:val="18"/>
      <w:szCs w:val="18"/>
    </w:rPr>
  </w:style>
  <w:style w:type="paragraph" w:styleId="22">
    <w:name w:val="Body Text First Indent 2"/>
    <w:basedOn w:val="12"/>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FollowedHyperlink"/>
    <w:basedOn w:val="25"/>
    <w:qFormat/>
    <w:uiPriority w:val="0"/>
    <w:rPr>
      <w:color w:val="800080"/>
      <w:u w:val="none"/>
    </w:rPr>
  </w:style>
  <w:style w:type="character" w:styleId="28">
    <w:name w:val="HTML Definition"/>
    <w:basedOn w:val="25"/>
    <w:qFormat/>
    <w:uiPriority w:val="0"/>
  </w:style>
  <w:style w:type="character" w:styleId="29">
    <w:name w:val="HTML Variable"/>
    <w:basedOn w:val="25"/>
    <w:qFormat/>
    <w:uiPriority w:val="0"/>
  </w:style>
  <w:style w:type="character" w:styleId="30">
    <w:name w:val="Hyperlink"/>
    <w:basedOn w:val="25"/>
    <w:qFormat/>
    <w:uiPriority w:val="0"/>
    <w:rPr>
      <w:color w:val="0000FF"/>
      <w:u w:val="none"/>
    </w:rPr>
  </w:style>
  <w:style w:type="character" w:styleId="31">
    <w:name w:val="HTML Code"/>
    <w:basedOn w:val="25"/>
    <w:qFormat/>
    <w:uiPriority w:val="0"/>
    <w:rPr>
      <w:rFonts w:ascii="Courier New" w:hAnsi="Courier New"/>
      <w:sz w:val="20"/>
    </w:rPr>
  </w:style>
  <w:style w:type="character" w:styleId="32">
    <w:name w:val="HTML Cite"/>
    <w:basedOn w:val="25"/>
    <w:qFormat/>
    <w:uiPriority w:val="0"/>
  </w:style>
  <w:style w:type="paragraph" w:customStyle="1" w:styleId="33">
    <w:name w:val="Default"/>
    <w:next w:val="3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一级条标题"/>
    <w:basedOn w:val="36"/>
    <w:next w:val="1"/>
    <w:qFormat/>
    <w:uiPriority w:val="99"/>
    <w:pPr>
      <w:widowControl/>
      <w:ind w:left="420"/>
      <w:outlineLvl w:val="2"/>
    </w:pPr>
    <w:rPr>
      <w:rFonts w:ascii="黑体" w:hAnsi="Times New Roman" w:eastAsia="黑体" w:cs="黑体"/>
      <w:kern w:val="0"/>
      <w:szCs w:val="21"/>
    </w:rPr>
  </w:style>
  <w:style w:type="paragraph" w:customStyle="1" w:styleId="3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标题 5（有编号）（绿盟科技）"/>
    <w:basedOn w:val="1"/>
    <w:next w:val="38"/>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9">
    <w:name w:val="正文首行缩进两字符"/>
    <w:basedOn w:val="1"/>
    <w:qFormat/>
    <w:uiPriority w:val="0"/>
    <w:pPr>
      <w:spacing w:line="360" w:lineRule="auto"/>
      <w:ind w:firstLine="200" w:firstLineChars="200"/>
    </w:pPr>
  </w:style>
  <w:style w:type="paragraph" w:customStyle="1" w:styleId="4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1">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2">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3">
    <w:name w:val="列出段落1"/>
    <w:basedOn w:val="1"/>
    <w:qFormat/>
    <w:uiPriority w:val="99"/>
    <w:pPr>
      <w:ind w:firstLine="420" w:firstLineChars="200"/>
    </w:pPr>
    <w:rPr>
      <w:rFonts w:eastAsia="宋体" w:cs="Times New Roman"/>
      <w:szCs w:val="22"/>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font31"/>
    <w:qFormat/>
    <w:uiPriority w:val="0"/>
    <w:rPr>
      <w:rFonts w:hint="eastAsia" w:ascii="宋体" w:hAnsi="宋体" w:eastAsia="宋体" w:cs="宋体"/>
      <w:color w:val="000000"/>
      <w:sz w:val="21"/>
      <w:szCs w:val="21"/>
      <w:u w:val="none"/>
    </w:rPr>
  </w:style>
  <w:style w:type="character" w:customStyle="1" w:styleId="46">
    <w:name w:val="font111"/>
    <w:qFormat/>
    <w:uiPriority w:val="0"/>
    <w:rPr>
      <w:rFonts w:hint="default" w:ascii="Eʩ" w:hAnsi="Eʩ" w:eastAsia="Eʩ" w:cs="Eʩ"/>
      <w:color w:val="000000"/>
      <w:sz w:val="21"/>
      <w:szCs w:val="21"/>
      <w:u w:val="single"/>
    </w:rPr>
  </w:style>
  <w:style w:type="paragraph" w:customStyle="1" w:styleId="47">
    <w:name w:val="dd"/>
    <w:basedOn w:val="1"/>
    <w:qFormat/>
    <w:uiPriority w:val="0"/>
    <w:pPr>
      <w:jc w:val="left"/>
    </w:pPr>
    <w:rPr>
      <w:rFonts w:cs="Times New Roman"/>
      <w:kern w:val="0"/>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列出段落4"/>
    <w:basedOn w:val="1"/>
    <w:unhideWhenUsed/>
    <w:qFormat/>
    <w:uiPriority w:val="99"/>
    <w:pPr>
      <w:ind w:firstLine="420" w:firstLineChars="200"/>
    </w:pPr>
  </w:style>
  <w:style w:type="character" w:customStyle="1" w:styleId="50">
    <w:name w:val="Body text|2 + 8.5 pt"/>
    <w:basedOn w:val="51"/>
    <w:semiHidden/>
    <w:unhideWhenUsed/>
    <w:qFormat/>
    <w:uiPriority w:val="0"/>
    <w:rPr>
      <w:color w:val="000000"/>
      <w:spacing w:val="10"/>
      <w:w w:val="100"/>
      <w:position w:val="0"/>
      <w:sz w:val="17"/>
      <w:szCs w:val="17"/>
      <w:lang w:val="zh-CN" w:eastAsia="zh-CN" w:bidi="zh-CN"/>
    </w:rPr>
  </w:style>
  <w:style w:type="character" w:customStyle="1" w:styleId="51">
    <w:name w:val="Body text|2_"/>
    <w:basedOn w:val="25"/>
    <w:link w:val="52"/>
    <w:qFormat/>
    <w:uiPriority w:val="0"/>
    <w:rPr>
      <w:rFonts w:ascii="PMingLiU" w:hAnsi="PMingLiU" w:eastAsia="PMingLiU" w:cs="PMingLiU"/>
      <w:spacing w:val="30"/>
      <w:sz w:val="30"/>
      <w:szCs w:val="30"/>
      <w:u w:val="none"/>
    </w:rPr>
  </w:style>
  <w:style w:type="paragraph" w:customStyle="1" w:styleId="52">
    <w:name w:val="Body text|22"/>
    <w:basedOn w:val="1"/>
    <w:link w:val="51"/>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3">
    <w:name w:val="Table Paragraph"/>
    <w:basedOn w:val="1"/>
    <w:qFormat/>
    <w:uiPriority w:val="1"/>
    <w:rPr>
      <w:rFonts w:ascii="新宋体" w:hAnsi="新宋体" w:eastAsia="新宋体" w:cs="新宋体"/>
      <w:szCs w:val="22"/>
      <w:lang w:val="zh-CN" w:bidi="zh-CN"/>
    </w:rPr>
  </w:style>
  <w:style w:type="paragraph" w:customStyle="1" w:styleId="54">
    <w:name w:val="p0"/>
    <w:basedOn w:val="1"/>
    <w:qFormat/>
    <w:uiPriority w:val="0"/>
    <w:pPr>
      <w:widowControl/>
    </w:pPr>
    <w:rPr>
      <w:rFonts w:ascii="Calibri" w:cs="宋体"/>
      <w:szCs w:val="21"/>
    </w:rPr>
  </w:style>
  <w:style w:type="paragraph" w:customStyle="1" w:styleId="55">
    <w:name w:val="列出段落2"/>
    <w:basedOn w:val="1"/>
    <w:qFormat/>
    <w:uiPriority w:val="34"/>
    <w:pPr>
      <w:ind w:firstLine="420" w:firstLineChars="200"/>
    </w:pPr>
    <w:rPr>
      <w:rFonts w:ascii="宋体" w:hAnsi="Times New Roman"/>
      <w:kern w:val="0"/>
      <w:sz w:val="34"/>
      <w:szCs w:val="20"/>
    </w:rPr>
  </w:style>
  <w:style w:type="paragraph" w:customStyle="1" w:styleId="56">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7">
    <w:name w:val="标题 3 Char"/>
    <w:link w:val="6"/>
    <w:qFormat/>
    <w:uiPriority w:val="0"/>
    <w:rPr>
      <w:b/>
      <w:bCs/>
      <w:sz w:val="32"/>
      <w:szCs w:val="32"/>
    </w:rPr>
  </w:style>
  <w:style w:type="paragraph" w:customStyle="1" w:styleId="58">
    <w:name w:val="表格"/>
    <w:basedOn w:val="1"/>
    <w:qFormat/>
    <w:uiPriority w:val="0"/>
    <w:pPr>
      <w:spacing w:line="400" w:lineRule="exact"/>
    </w:pPr>
    <w:rPr>
      <w:sz w:val="24"/>
    </w:rPr>
  </w:style>
  <w:style w:type="paragraph" w:customStyle="1" w:styleId="59">
    <w:name w:val="列出段落3"/>
    <w:basedOn w:val="1"/>
    <w:unhideWhenUsed/>
    <w:qFormat/>
    <w:uiPriority w:val="34"/>
    <w:pPr>
      <w:ind w:firstLine="420" w:firstLineChars="200"/>
    </w:pPr>
  </w:style>
  <w:style w:type="paragraph" w:customStyle="1" w:styleId="60">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61">
    <w:name w:val="readmail_locationtip1"/>
    <w:basedOn w:val="25"/>
    <w:qFormat/>
    <w:uiPriority w:val="0"/>
  </w:style>
  <w:style w:type="character" w:customStyle="1" w:styleId="62">
    <w:name w:val="批注框文本 Char"/>
    <w:basedOn w:val="25"/>
    <w:link w:val="15"/>
    <w:qFormat/>
    <w:uiPriority w:val="0"/>
    <w:rPr>
      <w:rFonts w:asciiTheme="minorHAnsi" w:hAnsiTheme="minorHAnsi" w:eastAsiaTheme="minorEastAsia" w:cstheme="minorBidi"/>
      <w:kern w:val="2"/>
      <w:sz w:val="18"/>
      <w:szCs w:val="18"/>
    </w:rPr>
  </w:style>
  <w:style w:type="paragraph" w:customStyle="1" w:styleId="63">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4">
    <w:name w:val="font61"/>
    <w:basedOn w:val="25"/>
    <w:qFormat/>
    <w:uiPriority w:val="0"/>
    <w:rPr>
      <w:rFonts w:hint="eastAsia" w:ascii="宋体" w:hAnsi="宋体" w:eastAsia="宋体" w:cs="宋体"/>
      <w:color w:val="000000"/>
      <w:sz w:val="20"/>
      <w:szCs w:val="20"/>
      <w:u w:val="none"/>
    </w:rPr>
  </w:style>
  <w:style w:type="character" w:customStyle="1" w:styleId="65">
    <w:name w:val="font21"/>
    <w:basedOn w:val="25"/>
    <w:qFormat/>
    <w:uiPriority w:val="0"/>
    <w:rPr>
      <w:rFonts w:hint="eastAsia" w:ascii="宋体" w:hAnsi="宋体" w:eastAsia="宋体" w:cs="宋体"/>
      <w:color w:val="000000"/>
      <w:sz w:val="20"/>
      <w:szCs w:val="20"/>
      <w:u w:val="none"/>
      <w:vertAlign w:val="superscript"/>
    </w:rPr>
  </w:style>
  <w:style w:type="character" w:customStyle="1" w:styleId="66">
    <w:name w:val="font11"/>
    <w:basedOn w:val="25"/>
    <w:qFormat/>
    <w:uiPriority w:val="0"/>
    <w:rPr>
      <w:rFonts w:hint="eastAsia" w:ascii="宋体" w:hAnsi="宋体" w:eastAsia="宋体" w:cs="宋体"/>
      <w:color w:val="000000"/>
      <w:sz w:val="20"/>
      <w:szCs w:val="20"/>
      <w:u w:val="none"/>
    </w:rPr>
  </w:style>
  <w:style w:type="paragraph" w:styleId="67">
    <w:name w:val="List Paragraph"/>
    <w:basedOn w:val="1"/>
    <w:qFormat/>
    <w:uiPriority w:val="34"/>
    <w:pPr>
      <w:ind w:firstLine="420" w:firstLineChars="200"/>
    </w:pPr>
  </w:style>
  <w:style w:type="paragraph" w:customStyle="1" w:styleId="68">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9">
    <w:name w:val="img"/>
    <w:basedOn w:val="25"/>
    <w:qFormat/>
    <w:uiPriority w:val="0"/>
  </w:style>
  <w:style w:type="character" w:customStyle="1" w:styleId="70">
    <w:name w:val="img1"/>
    <w:basedOn w:val="25"/>
    <w:qFormat/>
    <w:uiPriority w:val="0"/>
  </w:style>
  <w:style w:type="paragraph" w:customStyle="1" w:styleId="71">
    <w:name w:val="Blockquote"/>
    <w:basedOn w:val="1"/>
    <w:qFormat/>
    <w:uiPriority w:val="0"/>
    <w:pPr>
      <w:ind w:left="360" w:right="360"/>
    </w:pPr>
    <w:rPr>
      <w:rFonts w:ascii="Times New Roman" w:hAnsi="Times New Roman" w:eastAsia="宋体"/>
    </w:rPr>
  </w:style>
  <w:style w:type="character" w:customStyle="1" w:styleId="72">
    <w:name w:val="NormalCharacter"/>
    <w:qFormat/>
    <w:uiPriority w:val="0"/>
    <w:rPr>
      <w:rFonts w:ascii="Times New Roman" w:hAnsi="Times New Roman" w:eastAsia="宋体" w:cs="Times New Roman"/>
    </w:rPr>
  </w:style>
  <w:style w:type="paragraph" w:customStyle="1" w:styleId="73">
    <w:name w:val="标"/>
    <w:basedOn w:val="1"/>
    <w:next w:val="6"/>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4">
    <w:name w:val="CM16"/>
    <w:basedOn w:val="33"/>
    <w:next w:val="33"/>
    <w:qFormat/>
    <w:uiPriority w:val="99"/>
    <w:pPr>
      <w:spacing w:line="478" w:lineRule="atLeast"/>
    </w:pPr>
    <w:rPr>
      <w:rFonts w:hAnsi="等线" w:cs="Times New Roman"/>
      <w:color w:val="auto"/>
    </w:rPr>
  </w:style>
  <w:style w:type="paragraph" w:customStyle="1" w:styleId="75">
    <w:name w:val="CM52"/>
    <w:basedOn w:val="33"/>
    <w:next w:val="33"/>
    <w:qFormat/>
    <w:uiPriority w:val="99"/>
    <w:pPr>
      <w:spacing w:line="480" w:lineRule="atLeast"/>
    </w:pPr>
    <w:rPr>
      <w:rFonts w:hAnsi="等线" w:cs="Times New Roman"/>
      <w:color w:val="auto"/>
    </w:rPr>
  </w:style>
  <w:style w:type="character" w:customStyle="1" w:styleId="76">
    <w:name w:val="font41"/>
    <w:qFormat/>
    <w:uiPriority w:val="0"/>
    <w:rPr>
      <w:rFonts w:hint="eastAsia" w:ascii="宋体" w:hAnsi="宋体" w:eastAsia="宋体" w:cs="宋体"/>
      <w:color w:val="000000"/>
      <w:sz w:val="18"/>
      <w:szCs w:val="18"/>
      <w:u w:val="none"/>
    </w:rPr>
  </w:style>
  <w:style w:type="paragraph" w:customStyle="1" w:styleId="77">
    <w:name w:val="GW-正文"/>
    <w:basedOn w:val="1"/>
    <w:qFormat/>
    <w:uiPriority w:val="0"/>
    <w:pPr>
      <w:spacing w:line="360" w:lineRule="auto"/>
      <w:ind w:firstLine="200" w:firstLineChars="200"/>
    </w:pPr>
    <w:rPr>
      <w:rFonts w:eastAsia="仿宋_GB2312"/>
      <w:sz w:val="24"/>
    </w:rPr>
  </w:style>
  <w:style w:type="table" w:customStyle="1" w:styleId="78">
    <w:name w:val="网格型2"/>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null3"/>
    <w:qFormat/>
    <w:uiPriority w:val="0"/>
    <w:rPr>
      <w:rFonts w:hint="eastAsia" w:ascii="Calibri" w:hAnsi="Calibri" w:eastAsia="宋体" w:cs="Times New Roman"/>
      <w:lang w:val="en-US" w:eastAsia="zh-Hans"/>
    </w:rPr>
  </w:style>
  <w:style w:type="paragraph" w:customStyle="1" w:styleId="8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user\C:\home\user\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76</Pages>
  <Words>7640</Words>
  <Characters>7999</Characters>
  <Lines>260</Lines>
  <Paragraphs>73</Paragraphs>
  <TotalTime>10</TotalTime>
  <ScaleCrop>false</ScaleCrop>
  <LinksUpToDate>false</LinksUpToDate>
  <CharactersWithSpaces>8166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2018-03-29T19:41:00Z</dcterms:created>
  <dc:creator>Administrator</dc:creator>
  <cp:lastModifiedBy>墨叽</cp:lastModifiedBy>
  <cp:lastPrinted>2025-02-21T10:17:00Z</cp:lastPrinted>
  <dcterms:modified xsi:type="dcterms:W3CDTF">2025-08-06T16:06:25Z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66163A4ABE3942EFAE5B1160A89FA5C1_13</vt:lpwstr>
  </property>
  <property fmtid="{D5CDD505-2E9C-101B-9397-08002B2CF9AE}" pid="4" name="KSOTemplateDocerSaveRecord">
    <vt:lpwstr>eyJoZGlkIjoiMjJhNTc1OGE1ZjkyYTFkNTQzMTY5ZDg2MDE3MzhjNDUiLCJ1c2VySWQiOiI0NTI4OTYwMTgifQ==</vt:lpwstr>
  </property>
</Properties>
</file>